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E1A2D" w14:textId="0B9D7399" w:rsidR="005A3AEC" w:rsidRPr="00C225FB" w:rsidRDefault="00812EDC" w:rsidP="00812EDC">
      <w:pPr>
        <w:pStyle w:val="Judul"/>
        <w:jc w:val="both"/>
        <w:rPr>
          <w:rFonts w:ascii="Book Antiqua" w:eastAsia="Book Antiqua" w:hAnsi="Book Antiqua" w:cs="Book Antiqua"/>
          <w:i/>
          <w:iCs/>
          <w:lang w:val="en-US"/>
        </w:rPr>
      </w:pPr>
      <w:r w:rsidRPr="00C225FB">
        <w:rPr>
          <w:rFonts w:ascii="Book Antiqua" w:eastAsia="Book Antiqua" w:hAnsi="Book Antiqua" w:cs="Book Antiqua"/>
          <w:i/>
          <w:iCs/>
          <w:lang w:val="en-US"/>
        </w:rPr>
        <w:t xml:space="preserve">Comparative Analysis </w:t>
      </w:r>
      <w:proofErr w:type="gramStart"/>
      <w:r w:rsidRPr="00C225FB">
        <w:rPr>
          <w:rFonts w:ascii="Book Antiqua" w:eastAsia="Book Antiqua" w:hAnsi="Book Antiqua" w:cs="Book Antiqua"/>
          <w:i/>
          <w:iCs/>
          <w:lang w:val="en-US"/>
        </w:rPr>
        <w:t>Of</w:t>
      </w:r>
      <w:proofErr w:type="gramEnd"/>
      <w:r w:rsidRPr="00C225FB">
        <w:rPr>
          <w:rFonts w:ascii="Book Antiqua" w:eastAsia="Book Antiqua" w:hAnsi="Book Antiqua" w:cs="Book Antiqua"/>
          <w:i/>
          <w:iCs/>
          <w:lang w:val="en-US"/>
        </w:rPr>
        <w:t xml:space="preserve"> Brand Equity Between Aqua And Le </w:t>
      </w:r>
      <w:proofErr w:type="spellStart"/>
      <w:r w:rsidRPr="00C225FB">
        <w:rPr>
          <w:rFonts w:ascii="Book Antiqua" w:eastAsia="Book Antiqua" w:hAnsi="Book Antiqua" w:cs="Book Antiqua"/>
          <w:i/>
          <w:iCs/>
          <w:lang w:val="en-US"/>
        </w:rPr>
        <w:t>Minerale</w:t>
      </w:r>
      <w:proofErr w:type="spellEnd"/>
      <w:r w:rsidRPr="00C225FB">
        <w:rPr>
          <w:rFonts w:ascii="Book Antiqua" w:eastAsia="Book Antiqua" w:hAnsi="Book Antiqua" w:cs="Book Antiqua"/>
          <w:i/>
          <w:iCs/>
          <w:lang w:val="en-US"/>
        </w:rPr>
        <w:t xml:space="preserve"> Bottled Drinking Water Products</w:t>
      </w:r>
    </w:p>
    <w:p w14:paraId="1ADDA630" w14:textId="7CD6B5A8" w:rsidR="00812EDC" w:rsidRPr="00812EDC" w:rsidRDefault="00812EDC" w:rsidP="00812EDC">
      <w:pPr>
        <w:spacing w:before="240"/>
        <w:jc w:val="both"/>
        <w:rPr>
          <w:rFonts w:ascii="Book Antiqua" w:hAnsi="Book Antiqua"/>
          <w:b/>
          <w:bCs/>
          <w:sz w:val="32"/>
          <w:szCs w:val="32"/>
          <w:lang w:val="en-US"/>
        </w:rPr>
      </w:pPr>
      <w:proofErr w:type="spellStart"/>
      <w:r w:rsidRPr="00812EDC">
        <w:rPr>
          <w:rFonts w:ascii="Book Antiqua" w:hAnsi="Book Antiqua"/>
          <w:b/>
          <w:bCs/>
          <w:sz w:val="32"/>
          <w:szCs w:val="32"/>
          <w:lang w:val="en-US"/>
        </w:rPr>
        <w:t>Analisis</w:t>
      </w:r>
      <w:proofErr w:type="spellEnd"/>
      <w:r w:rsidRPr="00812EDC">
        <w:rPr>
          <w:rFonts w:ascii="Book Antiqua" w:hAnsi="Book Antiqua"/>
          <w:b/>
          <w:bCs/>
          <w:sz w:val="32"/>
          <w:szCs w:val="32"/>
          <w:lang w:val="en-US"/>
        </w:rPr>
        <w:t xml:space="preserve"> </w:t>
      </w:r>
      <w:proofErr w:type="spellStart"/>
      <w:r w:rsidRPr="00812EDC">
        <w:rPr>
          <w:rFonts w:ascii="Book Antiqua" w:hAnsi="Book Antiqua"/>
          <w:b/>
          <w:bCs/>
          <w:sz w:val="32"/>
          <w:szCs w:val="32"/>
          <w:lang w:val="en-US"/>
        </w:rPr>
        <w:t>Komparatif</w:t>
      </w:r>
      <w:proofErr w:type="spellEnd"/>
      <w:r w:rsidRPr="00812EDC">
        <w:rPr>
          <w:rFonts w:ascii="Book Antiqua" w:hAnsi="Book Antiqua"/>
          <w:b/>
          <w:bCs/>
          <w:sz w:val="32"/>
          <w:szCs w:val="32"/>
          <w:lang w:val="en-US"/>
        </w:rPr>
        <w:t xml:space="preserve"> </w:t>
      </w:r>
      <w:proofErr w:type="spellStart"/>
      <w:r w:rsidRPr="00812EDC">
        <w:rPr>
          <w:rFonts w:ascii="Book Antiqua" w:hAnsi="Book Antiqua"/>
          <w:b/>
          <w:bCs/>
          <w:sz w:val="32"/>
          <w:szCs w:val="32"/>
          <w:lang w:val="en-US"/>
        </w:rPr>
        <w:t>Ekuitas</w:t>
      </w:r>
      <w:proofErr w:type="spellEnd"/>
      <w:r w:rsidRPr="00812EDC">
        <w:rPr>
          <w:rFonts w:ascii="Book Antiqua" w:hAnsi="Book Antiqua"/>
          <w:b/>
          <w:bCs/>
          <w:sz w:val="32"/>
          <w:szCs w:val="32"/>
          <w:lang w:val="en-US"/>
        </w:rPr>
        <w:t xml:space="preserve"> </w:t>
      </w:r>
      <w:proofErr w:type="spellStart"/>
      <w:r w:rsidRPr="00812EDC">
        <w:rPr>
          <w:rFonts w:ascii="Book Antiqua" w:hAnsi="Book Antiqua"/>
          <w:b/>
          <w:bCs/>
          <w:sz w:val="32"/>
          <w:szCs w:val="32"/>
          <w:lang w:val="en-US"/>
        </w:rPr>
        <w:t>Merek</w:t>
      </w:r>
      <w:proofErr w:type="spellEnd"/>
      <w:r w:rsidRPr="00812EDC">
        <w:rPr>
          <w:rFonts w:ascii="Book Antiqua" w:hAnsi="Book Antiqua"/>
          <w:b/>
          <w:bCs/>
          <w:sz w:val="32"/>
          <w:szCs w:val="32"/>
          <w:lang w:val="en-US"/>
        </w:rPr>
        <w:t xml:space="preserve"> Antara </w:t>
      </w:r>
      <w:proofErr w:type="spellStart"/>
      <w:r w:rsidRPr="00812EDC">
        <w:rPr>
          <w:rFonts w:ascii="Book Antiqua" w:hAnsi="Book Antiqua"/>
          <w:b/>
          <w:bCs/>
          <w:sz w:val="32"/>
          <w:szCs w:val="32"/>
          <w:lang w:val="en-US"/>
        </w:rPr>
        <w:t>Produk</w:t>
      </w:r>
      <w:proofErr w:type="spellEnd"/>
      <w:r w:rsidRPr="00812EDC">
        <w:rPr>
          <w:rFonts w:ascii="Book Antiqua" w:hAnsi="Book Antiqua"/>
          <w:b/>
          <w:bCs/>
          <w:sz w:val="32"/>
          <w:szCs w:val="32"/>
          <w:lang w:val="en-US"/>
        </w:rPr>
        <w:t xml:space="preserve"> Air </w:t>
      </w:r>
      <w:proofErr w:type="spellStart"/>
      <w:r w:rsidRPr="00812EDC">
        <w:rPr>
          <w:rFonts w:ascii="Book Antiqua" w:hAnsi="Book Antiqua"/>
          <w:b/>
          <w:bCs/>
          <w:sz w:val="32"/>
          <w:szCs w:val="32"/>
          <w:lang w:val="en-US"/>
        </w:rPr>
        <w:t>Minum</w:t>
      </w:r>
      <w:proofErr w:type="spellEnd"/>
      <w:r w:rsidRPr="00812EDC">
        <w:rPr>
          <w:rFonts w:ascii="Book Antiqua" w:hAnsi="Book Antiqua"/>
          <w:b/>
          <w:bCs/>
          <w:sz w:val="32"/>
          <w:szCs w:val="32"/>
          <w:lang w:val="en-US"/>
        </w:rPr>
        <w:t xml:space="preserve"> </w:t>
      </w:r>
      <w:proofErr w:type="spellStart"/>
      <w:r w:rsidRPr="00812EDC">
        <w:rPr>
          <w:rFonts w:ascii="Book Antiqua" w:hAnsi="Book Antiqua"/>
          <w:b/>
          <w:bCs/>
          <w:sz w:val="32"/>
          <w:szCs w:val="32"/>
          <w:lang w:val="en-US"/>
        </w:rPr>
        <w:t>Kemasan</w:t>
      </w:r>
      <w:proofErr w:type="spellEnd"/>
      <w:r w:rsidRPr="00812EDC">
        <w:rPr>
          <w:rFonts w:ascii="Book Antiqua" w:hAnsi="Book Antiqua"/>
          <w:b/>
          <w:bCs/>
          <w:sz w:val="32"/>
          <w:szCs w:val="32"/>
          <w:lang w:val="en-US"/>
        </w:rPr>
        <w:t xml:space="preserve"> Aqua dan Le </w:t>
      </w:r>
      <w:proofErr w:type="spellStart"/>
      <w:r w:rsidRPr="00812EDC">
        <w:rPr>
          <w:rFonts w:ascii="Book Antiqua" w:hAnsi="Book Antiqua"/>
          <w:b/>
          <w:bCs/>
          <w:sz w:val="32"/>
          <w:szCs w:val="32"/>
          <w:lang w:val="en-US"/>
        </w:rPr>
        <w:t>Minerale</w:t>
      </w:r>
      <w:proofErr w:type="spellEnd"/>
    </w:p>
    <w:p w14:paraId="159E7307" w14:textId="77777777" w:rsidR="00DF38B5" w:rsidRDefault="00DF38B5">
      <w:pPr>
        <w:spacing w:after="0" w:line="240" w:lineRule="auto"/>
        <w:jc w:val="center"/>
        <w:rPr>
          <w:rFonts w:ascii="Book Antiqua" w:hAnsi="Book Antiqua"/>
          <w:b/>
          <w:bCs/>
          <w:sz w:val="24"/>
          <w:szCs w:val="24"/>
        </w:rPr>
      </w:pPr>
    </w:p>
    <w:p w14:paraId="58F8750C" w14:textId="20F101EA" w:rsidR="005A3AEC" w:rsidRPr="00812EDC" w:rsidRDefault="004D29F5" w:rsidP="00812EDC">
      <w:pPr>
        <w:spacing w:after="0" w:line="240" w:lineRule="auto"/>
        <w:jc w:val="center"/>
        <w:rPr>
          <w:rFonts w:ascii="Book Antiqua" w:eastAsia="Book Antiqua" w:hAnsi="Book Antiqua" w:cs="Book Antiqua"/>
          <w:sz w:val="24"/>
          <w:szCs w:val="24"/>
          <w:vertAlign w:val="superscript"/>
        </w:rPr>
      </w:pPr>
      <w:r w:rsidRPr="0062576E">
        <w:rPr>
          <w:rFonts w:ascii="Book Antiqua" w:hAnsi="Book Antiqua"/>
          <w:b/>
          <w:bCs/>
          <w:sz w:val="24"/>
          <w:szCs w:val="24"/>
        </w:rPr>
        <w:t xml:space="preserve">Nurul </w:t>
      </w:r>
      <w:proofErr w:type="spellStart"/>
      <w:r w:rsidRPr="0062576E">
        <w:rPr>
          <w:rFonts w:ascii="Book Antiqua" w:hAnsi="Book Antiqua"/>
          <w:b/>
          <w:bCs/>
          <w:sz w:val="24"/>
          <w:szCs w:val="24"/>
        </w:rPr>
        <w:t>Ittaqullah</w:t>
      </w:r>
      <w:proofErr w:type="spellEnd"/>
    </w:p>
    <w:p w14:paraId="2860CAB2" w14:textId="5C76C1A4" w:rsidR="005A3AEC" w:rsidRPr="00812EDC" w:rsidRDefault="004D29F5" w:rsidP="00812EDC">
      <w:pPr>
        <w:tabs>
          <w:tab w:val="left" w:pos="7734"/>
        </w:tabs>
        <w:spacing w:after="0" w:line="240" w:lineRule="auto"/>
        <w:jc w:val="center"/>
        <w:rPr>
          <w:rFonts w:ascii="Book Antiqua" w:eastAsia="Book Antiqua" w:hAnsi="Book Antiqua" w:cs="Book Antiqua"/>
          <w:i/>
          <w:iCs/>
          <w:sz w:val="24"/>
          <w:szCs w:val="24"/>
        </w:rPr>
      </w:pPr>
      <w:r>
        <w:rPr>
          <w:rFonts w:ascii="Book Antiqua" w:eastAsia="Book Antiqua" w:hAnsi="Book Antiqua" w:cs="Book Antiqua"/>
          <w:i/>
          <w:iCs/>
          <w:sz w:val="24"/>
          <w:szCs w:val="24"/>
        </w:rPr>
        <w:t xml:space="preserve">Universitas </w:t>
      </w:r>
      <w:proofErr w:type="spellStart"/>
      <w:r>
        <w:rPr>
          <w:rFonts w:ascii="Book Antiqua" w:eastAsia="Book Antiqua" w:hAnsi="Book Antiqua" w:cs="Book Antiqua"/>
          <w:i/>
          <w:iCs/>
          <w:sz w:val="24"/>
          <w:szCs w:val="24"/>
        </w:rPr>
        <w:t>Halu</w:t>
      </w:r>
      <w:proofErr w:type="spellEnd"/>
      <w:r>
        <w:rPr>
          <w:rFonts w:ascii="Book Antiqua" w:eastAsia="Book Antiqua" w:hAnsi="Book Antiqua" w:cs="Book Antiqua"/>
          <w:i/>
          <w:iCs/>
          <w:sz w:val="24"/>
          <w:szCs w:val="24"/>
        </w:rPr>
        <w:t xml:space="preserve"> Oleo, Indonesia</w:t>
      </w:r>
    </w:p>
    <w:p w14:paraId="244CD553" w14:textId="526511D1" w:rsidR="005A3AEC" w:rsidRDefault="00000000">
      <w:pPr>
        <w:tabs>
          <w:tab w:val="left" w:pos="7734"/>
        </w:tabs>
        <w:spacing w:after="0" w:line="240" w:lineRule="auto"/>
        <w:jc w:val="center"/>
        <w:rPr>
          <w:rFonts w:ascii="Book Antiqua" w:eastAsia="Book Antiqua" w:hAnsi="Book Antiqua" w:cs="Book Antiqua"/>
        </w:rPr>
      </w:pPr>
      <w:r>
        <w:rPr>
          <w:rFonts w:ascii="Book Antiqua" w:eastAsia="Book Antiqua" w:hAnsi="Book Antiqua" w:cs="Book Antiqua"/>
          <w:b/>
          <w:bCs/>
        </w:rPr>
        <w:t>*Corresponding author:</w:t>
      </w:r>
      <w:r>
        <w:rPr>
          <w:rFonts w:ascii="Book Antiqua" w:eastAsia="Book Antiqua" w:hAnsi="Book Antiqua" w:cs="Book Antiqua"/>
        </w:rPr>
        <w:t xml:space="preserve"> </w:t>
      </w:r>
      <w:hyperlink r:id="rId8" w:history="1">
        <w:r w:rsidR="004D29F5" w:rsidRPr="005C54BE">
          <w:rPr>
            <w:rStyle w:val="Hyperlink"/>
            <w:rFonts w:ascii="Book Antiqua" w:eastAsia="Book Antiqua" w:hAnsi="Book Antiqua" w:cs="Book Antiqua"/>
          </w:rPr>
          <w:t>nurul.ittaqullah@uho.ac.id</w:t>
        </w:r>
      </w:hyperlink>
    </w:p>
    <w:p w14:paraId="32A08FA5" w14:textId="77777777" w:rsidR="005A3AEC" w:rsidRDefault="005A3AEC">
      <w:pPr>
        <w:tabs>
          <w:tab w:val="left" w:pos="7734"/>
        </w:tabs>
        <w:spacing w:after="0" w:line="240" w:lineRule="auto"/>
        <w:jc w:val="center"/>
        <w:rPr>
          <w:rFonts w:ascii="Book Antiqua" w:eastAsia="Book Antiqua" w:hAnsi="Book Antiqua" w:cs="Book Antiqua"/>
        </w:rPr>
      </w:pPr>
    </w:p>
    <w:tbl>
      <w:tblPr>
        <w:tblStyle w:val="a"/>
        <w:tblW w:w="8964" w:type="dxa"/>
        <w:tblInd w:w="108" w:type="dxa"/>
        <w:tblBorders>
          <w:top w:val="single" w:sz="18" w:space="0" w:color="000000"/>
          <w:left w:val="nil"/>
          <w:bottom w:val="single" w:sz="18" w:space="0" w:color="000000"/>
          <w:right w:val="nil"/>
          <w:insideH w:val="nil"/>
          <w:insideV w:val="nil"/>
        </w:tblBorders>
        <w:tblLayout w:type="fixed"/>
        <w:tblLook w:val="0400" w:firstRow="0" w:lastRow="0" w:firstColumn="0" w:lastColumn="0" w:noHBand="0" w:noVBand="1"/>
      </w:tblPr>
      <w:tblGrid>
        <w:gridCol w:w="2302"/>
        <w:gridCol w:w="6662"/>
      </w:tblGrid>
      <w:tr w:rsidR="005A3AEC" w14:paraId="136FE524" w14:textId="77777777">
        <w:tc>
          <w:tcPr>
            <w:tcW w:w="2302" w:type="dxa"/>
          </w:tcPr>
          <w:p w14:paraId="54B37326" w14:textId="77777777" w:rsidR="005A3AEC" w:rsidRDefault="00000000">
            <w:pPr>
              <w:spacing w:after="0" w:line="240" w:lineRule="auto"/>
              <w:rPr>
                <w:rFonts w:ascii="Book Antiqua" w:eastAsia="Book Antiqua" w:hAnsi="Book Antiqua" w:cs="Book Antiqua"/>
                <w:b/>
                <w:bCs/>
                <w:sz w:val="20"/>
                <w:szCs w:val="20"/>
              </w:rPr>
            </w:pPr>
            <w:r>
              <w:rPr>
                <w:rFonts w:ascii="Book Antiqua" w:eastAsia="Book Antiqua" w:hAnsi="Book Antiqua" w:cs="Book Antiqua"/>
                <w:b/>
                <w:bCs/>
                <w:sz w:val="20"/>
                <w:szCs w:val="20"/>
              </w:rPr>
              <w:t>Article history</w:t>
            </w:r>
          </w:p>
          <w:p w14:paraId="03555A37" w14:textId="77777777" w:rsidR="005A3AEC" w:rsidRDefault="00000000">
            <w:pPr>
              <w:spacing w:after="0" w:line="240" w:lineRule="auto"/>
              <w:rPr>
                <w:rFonts w:ascii="Book Antiqua" w:eastAsia="Book Antiqua" w:hAnsi="Book Antiqua" w:cs="Book Antiqua"/>
                <w:b/>
                <w:bCs/>
                <w:sz w:val="20"/>
                <w:szCs w:val="20"/>
              </w:rPr>
            </w:pPr>
            <w:r>
              <w:rPr>
                <w:rFonts w:ascii="Book Antiqua" w:eastAsia="Book Antiqua" w:hAnsi="Book Antiqua" w:cs="Book Antiqua"/>
                <w:b/>
                <w:bCs/>
                <w:sz w:val="20"/>
                <w:szCs w:val="20"/>
              </w:rPr>
              <w:t xml:space="preserve">Received :  </w:t>
            </w:r>
          </w:p>
          <w:p w14:paraId="7C72A88C" w14:textId="6043AC74" w:rsidR="005A3AEC" w:rsidRDefault="00000000">
            <w:pP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w:t>
            </w:r>
            <w:r w:rsidR="001811A2">
              <w:rPr>
                <w:rFonts w:ascii="Book Antiqua" w:eastAsia="Book Antiqua" w:hAnsi="Book Antiqua" w:cs="Book Antiqua"/>
                <w:sz w:val="20"/>
                <w:szCs w:val="20"/>
              </w:rPr>
              <w:t>DD</w:t>
            </w:r>
            <w:r>
              <w:rPr>
                <w:rFonts w:ascii="Book Antiqua" w:eastAsia="Book Antiqua" w:hAnsi="Book Antiqua" w:cs="Book Antiqua"/>
                <w:sz w:val="20"/>
                <w:szCs w:val="20"/>
              </w:rPr>
              <w:t>-</w:t>
            </w:r>
            <w:r w:rsidR="001811A2">
              <w:rPr>
                <w:rFonts w:ascii="Book Antiqua" w:eastAsia="Book Antiqua" w:hAnsi="Book Antiqua" w:cs="Book Antiqua"/>
                <w:sz w:val="20"/>
                <w:szCs w:val="20"/>
              </w:rPr>
              <w:t>MM</w:t>
            </w:r>
            <w:r>
              <w:rPr>
                <w:rFonts w:ascii="Book Antiqua" w:eastAsia="Book Antiqua" w:hAnsi="Book Antiqua" w:cs="Book Antiqua"/>
                <w:sz w:val="20"/>
                <w:szCs w:val="20"/>
              </w:rPr>
              <w:t>-</w:t>
            </w:r>
            <w:r w:rsidR="001811A2">
              <w:rPr>
                <w:rFonts w:ascii="Book Antiqua" w:eastAsia="Book Antiqua" w:hAnsi="Book Antiqua" w:cs="Book Antiqua"/>
                <w:sz w:val="20"/>
                <w:szCs w:val="20"/>
              </w:rPr>
              <w:t>YYYY</w:t>
            </w:r>
            <w:r>
              <w:rPr>
                <w:rFonts w:ascii="Book Antiqua" w:eastAsia="Book Antiqua" w:hAnsi="Book Antiqua" w:cs="Book Antiqua"/>
                <w:sz w:val="20"/>
                <w:szCs w:val="20"/>
              </w:rPr>
              <w:t>)</w:t>
            </w:r>
          </w:p>
          <w:p w14:paraId="55B90862" w14:textId="77777777" w:rsidR="005A3AEC" w:rsidRDefault="00000000">
            <w:pPr>
              <w:spacing w:after="0" w:line="240" w:lineRule="auto"/>
              <w:rPr>
                <w:rFonts w:ascii="Book Antiqua" w:eastAsia="Book Antiqua" w:hAnsi="Book Antiqua" w:cs="Book Antiqua"/>
                <w:sz w:val="20"/>
                <w:szCs w:val="20"/>
              </w:rPr>
            </w:pPr>
            <w:r>
              <w:rPr>
                <w:rFonts w:ascii="Book Antiqua" w:eastAsia="Book Antiqua" w:hAnsi="Book Antiqua" w:cs="Book Antiqua"/>
                <w:b/>
                <w:bCs/>
                <w:sz w:val="20"/>
                <w:szCs w:val="20"/>
              </w:rPr>
              <w:t>Revised :</w:t>
            </w:r>
            <w:r>
              <w:rPr>
                <w:rFonts w:ascii="Book Antiqua" w:eastAsia="Book Antiqua" w:hAnsi="Book Antiqua" w:cs="Book Antiqua"/>
                <w:sz w:val="20"/>
                <w:szCs w:val="20"/>
              </w:rPr>
              <w:t xml:space="preserve"> </w:t>
            </w:r>
          </w:p>
          <w:p w14:paraId="36837C62" w14:textId="77777777" w:rsidR="005A3AEC" w:rsidRDefault="00000000">
            <w:pP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(DD-MM-YYYY)</w:t>
            </w:r>
          </w:p>
          <w:p w14:paraId="6D477AD7" w14:textId="77777777" w:rsidR="005A3AEC" w:rsidRDefault="00000000">
            <w:pPr>
              <w:spacing w:after="0" w:line="240" w:lineRule="auto"/>
              <w:rPr>
                <w:rFonts w:ascii="Book Antiqua" w:eastAsia="Book Antiqua" w:hAnsi="Book Antiqua" w:cs="Book Antiqua"/>
                <w:b/>
                <w:bCs/>
                <w:sz w:val="20"/>
                <w:szCs w:val="20"/>
              </w:rPr>
            </w:pPr>
            <w:r>
              <w:rPr>
                <w:rFonts w:ascii="Book Antiqua" w:eastAsia="Book Antiqua" w:hAnsi="Book Antiqua" w:cs="Book Antiqua"/>
                <w:b/>
                <w:bCs/>
                <w:sz w:val="20"/>
                <w:szCs w:val="20"/>
              </w:rPr>
              <w:t xml:space="preserve">Accepted : </w:t>
            </w:r>
          </w:p>
          <w:p w14:paraId="6A406FA2" w14:textId="77777777" w:rsidR="005A3AEC" w:rsidRDefault="00000000">
            <w:pP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(DD-MM-YYYY)</w:t>
            </w:r>
          </w:p>
          <w:p w14:paraId="4507787C" w14:textId="77777777" w:rsidR="005A3AEC" w:rsidRDefault="005A3AEC">
            <w:pPr>
              <w:rPr>
                <w:rFonts w:ascii="Book Antiqua" w:eastAsia="Book Antiqua" w:hAnsi="Book Antiqua" w:cs="Book Antiqua"/>
                <w:sz w:val="20"/>
                <w:szCs w:val="20"/>
              </w:rPr>
            </w:pPr>
          </w:p>
          <w:p w14:paraId="4AA616B2" w14:textId="77777777" w:rsidR="005A3AEC" w:rsidRDefault="005A3AEC">
            <w:pPr>
              <w:rPr>
                <w:rFonts w:ascii="Book Antiqua" w:eastAsia="Book Antiqua" w:hAnsi="Book Antiqua" w:cs="Book Antiqua"/>
                <w:sz w:val="20"/>
                <w:szCs w:val="20"/>
              </w:rPr>
            </w:pPr>
          </w:p>
        </w:tc>
        <w:tc>
          <w:tcPr>
            <w:tcW w:w="6662" w:type="dxa"/>
          </w:tcPr>
          <w:p w14:paraId="09CBD0D2" w14:textId="1AC01F97" w:rsidR="005A3AEC" w:rsidRDefault="00000000" w:rsidP="00812EDC">
            <w:pPr>
              <w:pBdr>
                <w:top w:val="nil"/>
                <w:left w:val="nil"/>
                <w:bottom w:val="nil"/>
                <w:right w:val="nil"/>
                <w:between w:val="nil"/>
              </w:pBdr>
              <w:spacing w:after="0" w:line="240" w:lineRule="auto"/>
              <w:ind w:right="-116"/>
              <w:rPr>
                <w:rFonts w:ascii="Book Antiqua" w:eastAsia="Book Antiqua" w:hAnsi="Book Antiqua" w:cs="Book Antiqua"/>
                <w:b/>
                <w:bCs/>
                <w:color w:val="000000"/>
                <w:sz w:val="24"/>
                <w:szCs w:val="24"/>
              </w:rPr>
            </w:pPr>
            <w:r>
              <w:rPr>
                <w:rFonts w:ascii="Book Antiqua" w:eastAsia="Book Antiqua" w:hAnsi="Book Antiqua" w:cs="Book Antiqua"/>
                <w:b/>
                <w:bCs/>
                <w:color w:val="000000"/>
                <w:sz w:val="24"/>
                <w:szCs w:val="24"/>
              </w:rPr>
              <w:t>ABSTRACT</w:t>
            </w:r>
          </w:p>
          <w:p w14:paraId="646A456A" w14:textId="35E17824" w:rsidR="004D29F5" w:rsidRPr="004D29F5" w:rsidRDefault="004D29F5" w:rsidP="00812EDC">
            <w:pPr>
              <w:pBdr>
                <w:top w:val="nil"/>
                <w:left w:val="nil"/>
                <w:bottom w:val="nil"/>
                <w:right w:val="nil"/>
                <w:between w:val="nil"/>
              </w:pBdr>
              <w:spacing w:after="0" w:line="240" w:lineRule="auto"/>
              <w:ind w:right="-116"/>
              <w:jc w:val="both"/>
              <w:rPr>
                <w:rFonts w:ascii="Book Antiqua" w:eastAsia="Book Antiqua" w:hAnsi="Book Antiqua" w:cs="Book Antiqua"/>
                <w:i/>
                <w:iCs/>
                <w:color w:val="000000"/>
                <w:sz w:val="24"/>
                <w:szCs w:val="24"/>
                <w:lang w:val="en-US"/>
              </w:rPr>
            </w:pPr>
            <w:r w:rsidRPr="004D29F5">
              <w:rPr>
                <w:rFonts w:ascii="Book Antiqua" w:eastAsia="Book Antiqua" w:hAnsi="Book Antiqua" w:cs="Book Antiqua"/>
                <w:i/>
                <w:iCs/>
                <w:color w:val="000000"/>
                <w:sz w:val="24"/>
                <w:szCs w:val="24"/>
                <w:lang w:val="en-US"/>
              </w:rPr>
              <w:t xml:space="preserve">Competition in the bottled mineral water industry in Indonesia is becoming increasingly intense along with the growing public awareness of the importance of consuming safe and healthy drinking water. AQUA, as a pioneer and market leader, faces direct competition from Le </w:t>
            </w:r>
            <w:proofErr w:type="spellStart"/>
            <w:r w:rsidRPr="004D29F5">
              <w:rPr>
                <w:rFonts w:ascii="Book Antiqua" w:eastAsia="Book Antiqua" w:hAnsi="Book Antiqua" w:cs="Book Antiqua"/>
                <w:i/>
                <w:iCs/>
                <w:color w:val="000000"/>
                <w:sz w:val="24"/>
                <w:szCs w:val="24"/>
                <w:lang w:val="en-US"/>
              </w:rPr>
              <w:t>Minerale</w:t>
            </w:r>
            <w:proofErr w:type="spellEnd"/>
            <w:r w:rsidRPr="004D29F5">
              <w:rPr>
                <w:rFonts w:ascii="Book Antiqua" w:eastAsia="Book Antiqua" w:hAnsi="Book Antiqua" w:cs="Book Antiqua"/>
                <w:i/>
                <w:iCs/>
                <w:color w:val="000000"/>
                <w:sz w:val="24"/>
                <w:szCs w:val="24"/>
                <w:lang w:val="en-US"/>
              </w:rPr>
              <w:t xml:space="preserve">, which has emerged as a challenger brand positioned around product quality and water purity. This study aims to analyze and compare the brand equity of AQUA and Le </w:t>
            </w:r>
            <w:proofErr w:type="spellStart"/>
            <w:r w:rsidRPr="004D29F5">
              <w:rPr>
                <w:rFonts w:ascii="Book Antiqua" w:eastAsia="Book Antiqua" w:hAnsi="Book Antiqua" w:cs="Book Antiqua"/>
                <w:i/>
                <w:iCs/>
                <w:color w:val="000000"/>
                <w:sz w:val="24"/>
                <w:szCs w:val="24"/>
                <w:lang w:val="en-US"/>
              </w:rPr>
              <w:t>Minerale</w:t>
            </w:r>
            <w:proofErr w:type="spellEnd"/>
            <w:r w:rsidRPr="004D29F5">
              <w:rPr>
                <w:rFonts w:ascii="Book Antiqua" w:eastAsia="Book Antiqua" w:hAnsi="Book Antiqua" w:cs="Book Antiqua"/>
                <w:i/>
                <w:iCs/>
                <w:color w:val="000000"/>
                <w:sz w:val="24"/>
                <w:szCs w:val="24"/>
                <w:lang w:val="en-US"/>
              </w:rPr>
              <w:t xml:space="preserve"> bottled mineral water products based on four main dimensions: brand awareness, brand association, perceived quality, and brand loyalty. The population of this study consisted of students at </w:t>
            </w:r>
            <w:proofErr w:type="spellStart"/>
            <w:r w:rsidRPr="004D29F5">
              <w:rPr>
                <w:rFonts w:ascii="Book Antiqua" w:eastAsia="Book Antiqua" w:hAnsi="Book Antiqua" w:cs="Book Antiqua"/>
                <w:i/>
                <w:iCs/>
                <w:color w:val="000000"/>
                <w:sz w:val="24"/>
                <w:szCs w:val="24"/>
                <w:lang w:val="en-US"/>
              </w:rPr>
              <w:t>Halu</w:t>
            </w:r>
            <w:proofErr w:type="spellEnd"/>
            <w:r w:rsidRPr="004D29F5">
              <w:rPr>
                <w:rFonts w:ascii="Book Antiqua" w:eastAsia="Book Antiqua" w:hAnsi="Book Antiqua" w:cs="Book Antiqua"/>
                <w:i/>
                <w:iCs/>
                <w:color w:val="000000"/>
                <w:sz w:val="24"/>
                <w:szCs w:val="24"/>
                <w:lang w:val="en-US"/>
              </w:rPr>
              <w:t xml:space="preserve"> Oleo University who consume bottled mineral water. The sample consisted of 80 respondents determined using the Hair et al. approach. Data were collected through questionnaires using a Likert scale. The data analysis techniques employed were descriptive statistics and the Independent Sample T-Test using SPSS software. The results showed significant differences in brand awareness, brand association, and perceived quality between AQUA and Le </w:t>
            </w:r>
            <w:proofErr w:type="spellStart"/>
            <w:r w:rsidRPr="004D29F5">
              <w:rPr>
                <w:rFonts w:ascii="Book Antiqua" w:eastAsia="Book Antiqua" w:hAnsi="Book Antiqua" w:cs="Book Antiqua"/>
                <w:i/>
                <w:iCs/>
                <w:color w:val="000000"/>
                <w:sz w:val="24"/>
                <w:szCs w:val="24"/>
                <w:lang w:val="en-US"/>
              </w:rPr>
              <w:t>Minerale</w:t>
            </w:r>
            <w:proofErr w:type="spellEnd"/>
            <w:r w:rsidRPr="004D29F5">
              <w:rPr>
                <w:rFonts w:ascii="Book Antiqua" w:eastAsia="Book Antiqua" w:hAnsi="Book Antiqua" w:cs="Book Antiqua"/>
                <w:i/>
                <w:iCs/>
                <w:color w:val="000000"/>
                <w:sz w:val="24"/>
                <w:szCs w:val="24"/>
                <w:lang w:val="en-US"/>
              </w:rPr>
              <w:t>. However, no significant difference was found in the brand loyalty dimension. These findings indicate that although AQUA excels in brand recognition and perceived quality, both brands have successfully established relatively comparable consumer loyalty among university students.</w:t>
            </w:r>
          </w:p>
          <w:p w14:paraId="4FEEB3AD" w14:textId="52A539EE" w:rsidR="005A3AEC" w:rsidRDefault="004D29F5" w:rsidP="00812EDC">
            <w:pPr>
              <w:pBdr>
                <w:top w:val="nil"/>
                <w:left w:val="nil"/>
                <w:bottom w:val="nil"/>
                <w:right w:val="nil"/>
                <w:between w:val="nil"/>
              </w:pBdr>
              <w:spacing w:after="0" w:line="240" w:lineRule="auto"/>
              <w:ind w:right="-116"/>
              <w:jc w:val="both"/>
              <w:rPr>
                <w:rFonts w:ascii="Book Antiqua" w:eastAsia="Book Antiqua" w:hAnsi="Book Antiqua" w:cs="Book Antiqua"/>
                <w:color w:val="000000"/>
                <w:sz w:val="20"/>
                <w:szCs w:val="20"/>
              </w:rPr>
            </w:pPr>
            <w:r w:rsidRPr="004D29F5">
              <w:rPr>
                <w:rFonts w:ascii="Book Antiqua" w:eastAsia="Book Antiqua" w:hAnsi="Book Antiqua" w:cs="Book Antiqua"/>
                <w:b/>
                <w:bCs/>
                <w:i/>
                <w:iCs/>
                <w:color w:val="000000"/>
                <w:sz w:val="24"/>
                <w:szCs w:val="24"/>
                <w:lang w:val="en-US"/>
              </w:rPr>
              <w:t>Keywords:</w:t>
            </w:r>
            <w:r w:rsidRPr="004D29F5">
              <w:rPr>
                <w:rFonts w:ascii="Book Antiqua" w:eastAsia="Book Antiqua" w:hAnsi="Book Antiqua" w:cs="Book Antiqua"/>
                <w:i/>
                <w:iCs/>
                <w:color w:val="000000"/>
                <w:sz w:val="24"/>
                <w:szCs w:val="24"/>
                <w:lang w:val="en-US"/>
              </w:rPr>
              <w:t xml:space="preserve"> Brand Equity, Brand Awareness, Brand Association, Perceived Quality, Brand Loyalty, Bottled Mineral Water</w:t>
            </w:r>
          </w:p>
        </w:tc>
      </w:tr>
    </w:tbl>
    <w:p w14:paraId="46B66221" w14:textId="77777777" w:rsidR="005A3AEC" w:rsidRDefault="005A3AEC">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23045DE2" w14:textId="3D35BD31" w:rsidR="005A3AEC" w:rsidRDefault="00000000">
      <w:pPr>
        <w:pStyle w:val="Judul1"/>
        <w:spacing w:before="0" w:after="0" w:line="360" w:lineRule="auto"/>
        <w:jc w:val="both"/>
        <w:rPr>
          <w:rFonts w:ascii="Book Antiqua" w:eastAsia="Book Antiqua" w:hAnsi="Book Antiqua" w:cs="Book Antiqua"/>
          <w:sz w:val="24"/>
          <w:szCs w:val="24"/>
        </w:rPr>
      </w:pPr>
      <w:r>
        <w:rPr>
          <w:rFonts w:ascii="Book Antiqua" w:eastAsia="Book Antiqua" w:hAnsi="Book Antiqua" w:cs="Book Antiqua"/>
          <w:sz w:val="24"/>
          <w:szCs w:val="24"/>
        </w:rPr>
        <w:lastRenderedPageBreak/>
        <w:t xml:space="preserve">INTRODUCTION </w:t>
      </w:r>
    </w:p>
    <w:p w14:paraId="2F64323E" w14:textId="77777777" w:rsidR="00DF38B5" w:rsidRPr="0062576E" w:rsidRDefault="00DF38B5" w:rsidP="00C225FB">
      <w:pPr>
        <w:spacing w:after="0" w:line="278" w:lineRule="auto"/>
        <w:ind w:firstLine="709"/>
        <w:jc w:val="both"/>
        <w:rPr>
          <w:rFonts w:ascii="Book Antiqua" w:hAnsi="Book Antiqua"/>
          <w:sz w:val="24"/>
          <w:szCs w:val="24"/>
        </w:rPr>
      </w:pPr>
      <w:r w:rsidRPr="0062576E">
        <w:rPr>
          <w:rFonts w:ascii="Book Antiqua" w:hAnsi="Book Antiqua"/>
          <w:sz w:val="24"/>
          <w:szCs w:val="24"/>
        </w:rPr>
        <w:t>Competition in the packaged beverage industry, particularly bottled mineral water, has increased significantly in recent years due to population growth, urbanization, and rising public awareness regarding healthy lifestyles and safe drinking water consumption [1]. The bottled mineral water industry in Indonesia has become one of the rapidly growing sectors because these products have become daily necessities for modern consumers who prioritize practicality, hygiene, and easy accessibility in their everyday activities [2]. In addition to health factors, changes in consumer consumption patterns have also contributed to the increasing demand for bottled mineral water products [3].</w:t>
      </w:r>
    </w:p>
    <w:p w14:paraId="31E84A2B" w14:textId="77777777" w:rsidR="00DF38B5" w:rsidRPr="0062576E" w:rsidRDefault="00DF38B5" w:rsidP="00C225FB">
      <w:pPr>
        <w:spacing w:after="0" w:line="278" w:lineRule="auto"/>
        <w:ind w:firstLine="709"/>
        <w:jc w:val="both"/>
        <w:rPr>
          <w:rFonts w:ascii="Book Antiqua" w:hAnsi="Book Antiqua"/>
          <w:sz w:val="24"/>
          <w:szCs w:val="24"/>
        </w:rPr>
      </w:pPr>
      <w:r w:rsidRPr="0062576E">
        <w:rPr>
          <w:rFonts w:ascii="Book Antiqua" w:hAnsi="Book Antiqua"/>
          <w:sz w:val="24"/>
          <w:szCs w:val="24"/>
        </w:rPr>
        <w:t>Under highly competitive market conditions, companies no longer rely solely on the functional quality of products but also on brand strength as the main differentiating factor. Bottled mineral water products tend to have relatively homogeneous physical characteristics; therefore, consumers are more likely to consider brand perception during the purchasing decision-making process [4]. Brands have become strategic assets for companies because they can build product identity, image, and consumer trust [5].</w:t>
      </w:r>
    </w:p>
    <w:p w14:paraId="37721EB3" w14:textId="77777777" w:rsidR="00DF38B5" w:rsidRPr="0062576E" w:rsidRDefault="00DF38B5" w:rsidP="00C225FB">
      <w:pPr>
        <w:spacing w:after="0" w:line="278" w:lineRule="auto"/>
        <w:ind w:firstLine="709"/>
        <w:jc w:val="both"/>
        <w:rPr>
          <w:rFonts w:ascii="Book Antiqua" w:hAnsi="Book Antiqua"/>
          <w:sz w:val="24"/>
          <w:szCs w:val="24"/>
        </w:rPr>
      </w:pPr>
      <w:r w:rsidRPr="0062576E">
        <w:rPr>
          <w:rFonts w:ascii="Book Antiqua" w:hAnsi="Book Antiqua"/>
          <w:sz w:val="24"/>
          <w:szCs w:val="24"/>
        </w:rPr>
        <w:t>According to David A. Aaker, brand equity is a set of assets and liabilities linked to a brand that can add to or subtract from the value provided by a product or service to both the company and consumers [6]. Meanwhile, Philip Kotler and Kevin Lane Keller explain that brand equity is reflected in how consumers think, feel, and act toward a brand [7]. Strong brand equity can increase consumer loyalty, strengthen market positioning, and provide long-term competitive advantages [8].</w:t>
      </w:r>
    </w:p>
    <w:p w14:paraId="30109304" w14:textId="77777777" w:rsidR="00DF38B5" w:rsidRPr="0062576E" w:rsidRDefault="00DF38B5" w:rsidP="00C225FB">
      <w:pPr>
        <w:spacing w:after="0" w:line="278" w:lineRule="auto"/>
        <w:ind w:firstLine="709"/>
        <w:jc w:val="both"/>
        <w:rPr>
          <w:rFonts w:ascii="Book Antiqua" w:hAnsi="Book Antiqua"/>
          <w:sz w:val="24"/>
          <w:szCs w:val="24"/>
        </w:rPr>
      </w:pPr>
      <w:r w:rsidRPr="0062576E">
        <w:rPr>
          <w:rFonts w:ascii="Book Antiqua" w:hAnsi="Book Antiqua"/>
          <w:sz w:val="24"/>
          <w:szCs w:val="24"/>
        </w:rPr>
        <w:t xml:space="preserve">AQUA is the pioneer of bottled mineral water in Indonesia and has been widely recognized as the market leader in the bottled water industry since 1973 [9]. AQUA’s success in maintaining market dominance is strongly supported by its high brand awareness, consistent product quality, and strong brand image embedded in consumers’ minds over decades [10]. On the other hand,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has emerged as a rapidly growing competitor through aggressive marketing strategies and positioning itself as mineral water with natural minerals and a fresh taste [11].</w:t>
      </w:r>
    </w:p>
    <w:p w14:paraId="06E4E011" w14:textId="77777777" w:rsidR="00DF38B5" w:rsidRPr="0062576E" w:rsidRDefault="00DF38B5" w:rsidP="00C225FB">
      <w:pPr>
        <w:spacing w:after="0" w:line="278" w:lineRule="auto"/>
        <w:ind w:firstLine="709"/>
        <w:jc w:val="both"/>
        <w:rPr>
          <w:rFonts w:ascii="Book Antiqua" w:hAnsi="Book Antiqua"/>
          <w:sz w:val="24"/>
          <w:szCs w:val="24"/>
        </w:rPr>
      </w:pPr>
      <w:r w:rsidRPr="0062576E">
        <w:rPr>
          <w:rFonts w:ascii="Book Antiqua" w:hAnsi="Book Antiqua"/>
          <w:sz w:val="24"/>
          <w:szCs w:val="24"/>
        </w:rPr>
        <w:t xml:space="preserve">The competition between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is interesting to examine because both brands employ different branding approaches. AQUA relies on the strength of historical branding and brand reputation, whereas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emphasizes product differentiation and intensive marketing communication through mass and digital media [12]. This condition indicates that competition in the bottled mineral water industry is no longer solely based on price and distribution but also on the company’s ability to build strong brand equity [13].</w:t>
      </w:r>
    </w:p>
    <w:p w14:paraId="157496F6" w14:textId="77777777" w:rsidR="00DF38B5" w:rsidRPr="0062576E" w:rsidRDefault="00DF38B5" w:rsidP="00C225FB">
      <w:pPr>
        <w:spacing w:after="0" w:line="278" w:lineRule="auto"/>
        <w:ind w:firstLine="709"/>
        <w:jc w:val="both"/>
        <w:rPr>
          <w:rFonts w:ascii="Book Antiqua" w:hAnsi="Book Antiqua"/>
          <w:sz w:val="24"/>
          <w:szCs w:val="24"/>
        </w:rPr>
      </w:pPr>
      <w:r w:rsidRPr="0062576E">
        <w:rPr>
          <w:rFonts w:ascii="Book Antiqua" w:hAnsi="Book Antiqua"/>
          <w:sz w:val="24"/>
          <w:szCs w:val="24"/>
        </w:rPr>
        <w:t xml:space="preserve">University students represent one of the potential consumer segments in the bottled mineral water industry because they have high mobility and demanding </w:t>
      </w:r>
      <w:r w:rsidRPr="0062576E">
        <w:rPr>
          <w:rFonts w:ascii="Book Antiqua" w:hAnsi="Book Antiqua"/>
          <w:sz w:val="24"/>
          <w:szCs w:val="24"/>
        </w:rPr>
        <w:lastRenderedPageBreak/>
        <w:t>academic activities. The consumption level of bottled mineral water among students tends to be high due to practicality and the need to maintain health during academic activities [14]. Furthermore, students are generally considered critical and responsive consumers toward marketing strategies, making them a relevant group for measuring product brand equity perceptions [15].</w:t>
      </w:r>
    </w:p>
    <w:p w14:paraId="34D02A58" w14:textId="77777777" w:rsidR="00DF38B5" w:rsidRPr="0062576E" w:rsidRDefault="00DF38B5" w:rsidP="00C225FB">
      <w:pPr>
        <w:spacing w:after="0" w:line="278" w:lineRule="auto"/>
        <w:ind w:firstLine="709"/>
        <w:jc w:val="both"/>
        <w:rPr>
          <w:rFonts w:ascii="Book Antiqua" w:hAnsi="Book Antiqua"/>
          <w:sz w:val="24"/>
          <w:szCs w:val="24"/>
        </w:rPr>
      </w:pPr>
      <w:r w:rsidRPr="0062576E">
        <w:rPr>
          <w:rFonts w:ascii="Book Antiqua" w:hAnsi="Book Antiqua"/>
          <w:sz w:val="24"/>
          <w:szCs w:val="24"/>
        </w:rPr>
        <w:t xml:space="preserve">Previous studies regarding brand equity in bottled mineral water products have been widely conducted; however, most studies only focus on a single brand or merely examine the effect of brand equity on purchasing decisions [16]. Comparative studies directly comparing the dimensions of brand equity between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 particularly among university students, remain relatively limited. Therefore, this study contributes empirically by providing insights into the differences in brand awareness, brand association, perceived quality, and brand loyalty between the two brands.</w:t>
      </w:r>
      <w:r w:rsidRPr="0062576E">
        <w:rPr>
          <w:rFonts w:ascii="Book Antiqua" w:hAnsi="Book Antiqua"/>
        </w:rPr>
        <w:t xml:space="preserve"> </w:t>
      </w:r>
      <w:r w:rsidRPr="0062576E">
        <w:rPr>
          <w:rFonts w:ascii="Book Antiqua" w:hAnsi="Book Antiqua"/>
          <w:sz w:val="24"/>
          <w:szCs w:val="24"/>
        </w:rPr>
        <w:t xml:space="preserve">Based on the explanation above, this study aims to analyze and compare the brand equity of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bottled mineral water products among students at Universitas </w:t>
      </w:r>
      <w:proofErr w:type="spellStart"/>
      <w:r w:rsidRPr="0062576E">
        <w:rPr>
          <w:rFonts w:ascii="Book Antiqua" w:hAnsi="Book Antiqua"/>
          <w:sz w:val="24"/>
          <w:szCs w:val="24"/>
        </w:rPr>
        <w:t>Halu</w:t>
      </w:r>
      <w:proofErr w:type="spellEnd"/>
      <w:r w:rsidRPr="0062576E">
        <w:rPr>
          <w:rFonts w:ascii="Book Antiqua" w:hAnsi="Book Antiqua"/>
          <w:sz w:val="24"/>
          <w:szCs w:val="24"/>
        </w:rPr>
        <w:t xml:space="preserve"> Oleo.</w:t>
      </w:r>
    </w:p>
    <w:p w14:paraId="30F536AE" w14:textId="77777777" w:rsidR="00DF38B5" w:rsidRPr="0062576E" w:rsidRDefault="00DF38B5" w:rsidP="00DF38B5">
      <w:pPr>
        <w:spacing w:after="160" w:line="278" w:lineRule="auto"/>
        <w:jc w:val="both"/>
        <w:rPr>
          <w:rFonts w:ascii="Book Antiqua" w:hAnsi="Book Antiqua"/>
          <w:sz w:val="24"/>
          <w:szCs w:val="24"/>
        </w:rPr>
      </w:pPr>
    </w:p>
    <w:p w14:paraId="4A3F7A57" w14:textId="77777777" w:rsidR="00DF38B5" w:rsidRPr="0062576E" w:rsidRDefault="00DF38B5" w:rsidP="00DF38B5">
      <w:pPr>
        <w:spacing w:after="160" w:line="278" w:lineRule="auto"/>
        <w:jc w:val="both"/>
        <w:rPr>
          <w:rFonts w:ascii="Book Antiqua" w:hAnsi="Book Antiqua"/>
          <w:b/>
          <w:bCs/>
          <w:sz w:val="24"/>
          <w:szCs w:val="24"/>
        </w:rPr>
      </w:pPr>
      <w:r w:rsidRPr="0062576E">
        <w:rPr>
          <w:rFonts w:ascii="Book Antiqua" w:hAnsi="Book Antiqua"/>
          <w:b/>
          <w:bCs/>
          <w:sz w:val="24"/>
          <w:szCs w:val="24"/>
        </w:rPr>
        <w:t>LITERATURE REVIEW</w:t>
      </w:r>
    </w:p>
    <w:p w14:paraId="0045403D" w14:textId="77777777" w:rsidR="00DF38B5" w:rsidRPr="00DF38B5" w:rsidRDefault="00DF38B5" w:rsidP="00DF38B5">
      <w:pPr>
        <w:spacing w:after="160" w:line="278" w:lineRule="auto"/>
        <w:jc w:val="both"/>
        <w:rPr>
          <w:rFonts w:ascii="Book Antiqua" w:hAnsi="Book Antiqua"/>
          <w:b/>
          <w:bCs/>
          <w:i/>
          <w:iCs/>
          <w:sz w:val="24"/>
          <w:szCs w:val="24"/>
        </w:rPr>
      </w:pPr>
      <w:r w:rsidRPr="00DF38B5">
        <w:rPr>
          <w:rFonts w:ascii="Book Antiqua" w:hAnsi="Book Antiqua"/>
          <w:b/>
          <w:bCs/>
          <w:i/>
          <w:iCs/>
          <w:sz w:val="24"/>
          <w:szCs w:val="24"/>
        </w:rPr>
        <w:t>Brand</w:t>
      </w:r>
    </w:p>
    <w:p w14:paraId="464A3DA3" w14:textId="30EFB785"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A brand is an identity used by companies to differentiate their products or services from competitors in the marketplace. According to Kotler and Keller, a brand is not merely a name or symbol but also reflects consumers’ perceptions, experiences, and emotional relationships with a product [7]. A strong brand can create added value and increase consumer trust in product quality [17].</w:t>
      </w:r>
      <w:r>
        <w:rPr>
          <w:rFonts w:ascii="Book Antiqua" w:hAnsi="Book Antiqua"/>
          <w:sz w:val="24"/>
          <w:szCs w:val="24"/>
        </w:rPr>
        <w:t xml:space="preserve"> </w:t>
      </w:r>
      <w:r w:rsidRPr="0062576E">
        <w:rPr>
          <w:rFonts w:ascii="Book Antiqua" w:hAnsi="Book Antiqua"/>
          <w:sz w:val="24"/>
          <w:szCs w:val="24"/>
        </w:rPr>
        <w:t>Aaker states that a brand is a strategic company asset capable of building customer loyalty and creating sustainable competitive advantages [6]. In industries with homogeneous products such as bottled mineral water, brands become essential factors influencing consumer preferences because products are difficult to differentiate based solely on physical characteristics [18].</w:t>
      </w:r>
    </w:p>
    <w:p w14:paraId="292B827D" w14:textId="77777777" w:rsidR="00DF38B5" w:rsidRPr="00DF38B5" w:rsidRDefault="00DF38B5" w:rsidP="00DF38B5">
      <w:pPr>
        <w:spacing w:after="160" w:line="278" w:lineRule="auto"/>
        <w:jc w:val="both"/>
        <w:rPr>
          <w:rFonts w:ascii="Book Antiqua" w:hAnsi="Book Antiqua"/>
          <w:b/>
          <w:bCs/>
          <w:i/>
          <w:iCs/>
          <w:sz w:val="24"/>
          <w:szCs w:val="24"/>
        </w:rPr>
      </w:pPr>
      <w:r w:rsidRPr="00DF38B5">
        <w:rPr>
          <w:rFonts w:ascii="Book Antiqua" w:hAnsi="Book Antiqua"/>
          <w:b/>
          <w:bCs/>
          <w:i/>
          <w:iCs/>
          <w:sz w:val="24"/>
          <w:szCs w:val="24"/>
        </w:rPr>
        <w:t>Brand Equity</w:t>
      </w:r>
    </w:p>
    <w:p w14:paraId="12C59EF9" w14:textId="4188E7F3"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Brand equity refers to a set of brand assets associated with a brand name and symbol that can enhance or reduce product value [6]. Keller explains that brand equity is formed when consumers possess strong levels of brand awareness and brand association toward a particular brand [19].</w:t>
      </w:r>
      <w:r>
        <w:rPr>
          <w:rFonts w:ascii="Book Antiqua" w:hAnsi="Book Antiqua"/>
          <w:sz w:val="24"/>
          <w:szCs w:val="24"/>
        </w:rPr>
        <w:t xml:space="preserve"> </w:t>
      </w:r>
      <w:r w:rsidRPr="0062576E">
        <w:rPr>
          <w:rFonts w:ascii="Book Antiqua" w:hAnsi="Book Antiqua"/>
          <w:sz w:val="24"/>
          <w:szCs w:val="24"/>
        </w:rPr>
        <w:t xml:space="preserve">High brand equity provides several benefits to companies, including increased customer loyalty, effective marketing communication, and stronger market positioning [20]. In the context of the bottled </w:t>
      </w:r>
      <w:r w:rsidRPr="0062576E">
        <w:rPr>
          <w:rFonts w:ascii="Book Antiqua" w:hAnsi="Book Antiqua"/>
          <w:sz w:val="24"/>
          <w:szCs w:val="24"/>
        </w:rPr>
        <w:lastRenderedPageBreak/>
        <w:t>mineral water industry, brand equity becomes a key factor in maintaining consumers amid the abundance of alternative brands available in the market [21].</w:t>
      </w:r>
    </w:p>
    <w:p w14:paraId="42706DC1" w14:textId="77777777" w:rsidR="00DF38B5" w:rsidRPr="00DF38B5" w:rsidRDefault="00DF38B5" w:rsidP="00DF38B5">
      <w:pPr>
        <w:spacing w:after="160" w:line="278" w:lineRule="auto"/>
        <w:jc w:val="both"/>
        <w:rPr>
          <w:rFonts w:ascii="Book Antiqua" w:hAnsi="Book Antiqua"/>
          <w:b/>
          <w:bCs/>
          <w:i/>
          <w:iCs/>
          <w:sz w:val="24"/>
          <w:szCs w:val="24"/>
        </w:rPr>
      </w:pPr>
      <w:r w:rsidRPr="00DF38B5">
        <w:rPr>
          <w:rFonts w:ascii="Book Antiqua" w:hAnsi="Book Antiqua"/>
          <w:b/>
          <w:bCs/>
          <w:i/>
          <w:iCs/>
          <w:sz w:val="24"/>
          <w:szCs w:val="24"/>
        </w:rPr>
        <w:t>Brand Awareness</w:t>
      </w:r>
    </w:p>
    <w:p w14:paraId="2AA544F4" w14:textId="2E6788EE"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Brand awareness is the ability of consumers to recognize and recall a brand as part of a particular product category [19]. High levels of brand awareness facilitate consumer purchasing decisions because familiar brands are generally perceived as more trustworthy [22].</w:t>
      </w:r>
      <w:r>
        <w:rPr>
          <w:rFonts w:ascii="Book Antiqua" w:hAnsi="Book Antiqua"/>
          <w:sz w:val="24"/>
          <w:szCs w:val="24"/>
        </w:rPr>
        <w:t xml:space="preserve"> </w:t>
      </w:r>
      <w:r w:rsidRPr="0062576E">
        <w:rPr>
          <w:rFonts w:ascii="Book Antiqua" w:hAnsi="Book Antiqua"/>
          <w:sz w:val="24"/>
          <w:szCs w:val="24"/>
        </w:rPr>
        <w:t>Aaker categorizes brand awareness into several levels, ranging from unaware of brand to top-of-mind awareness [6]. In bottled mineral water products, brands with high awareness levels are more likely to be selected during routine purchasing situations [23].</w:t>
      </w:r>
    </w:p>
    <w:p w14:paraId="2152FF9D" w14:textId="77777777" w:rsidR="00DF38B5" w:rsidRPr="00DF38B5" w:rsidRDefault="00DF38B5" w:rsidP="00DF38B5">
      <w:pPr>
        <w:spacing w:after="160" w:line="278" w:lineRule="auto"/>
        <w:jc w:val="both"/>
        <w:rPr>
          <w:rFonts w:ascii="Book Antiqua" w:hAnsi="Book Antiqua"/>
          <w:b/>
          <w:bCs/>
          <w:i/>
          <w:iCs/>
          <w:sz w:val="24"/>
          <w:szCs w:val="24"/>
        </w:rPr>
      </w:pPr>
      <w:r w:rsidRPr="00DF38B5">
        <w:rPr>
          <w:rFonts w:ascii="Book Antiqua" w:hAnsi="Book Antiqua"/>
          <w:b/>
          <w:bCs/>
          <w:i/>
          <w:iCs/>
          <w:sz w:val="24"/>
          <w:szCs w:val="24"/>
        </w:rPr>
        <w:t>Brand Association</w:t>
      </w:r>
    </w:p>
    <w:p w14:paraId="090ADF80" w14:textId="053320F6"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Brand association refers to all impressions, images, and meanings attached to consumers’ memories regarding a particular brand [19]. Brand associations may include product attributes, benefits, lifestyle, and quality perceptions [24].</w:t>
      </w:r>
      <w:r>
        <w:rPr>
          <w:rFonts w:ascii="Book Antiqua" w:hAnsi="Book Antiqua"/>
          <w:sz w:val="24"/>
          <w:szCs w:val="24"/>
        </w:rPr>
        <w:t xml:space="preserve"> </w:t>
      </w:r>
      <w:r w:rsidRPr="0062576E">
        <w:rPr>
          <w:rFonts w:ascii="Book Antiqua" w:hAnsi="Book Antiqua"/>
          <w:sz w:val="24"/>
          <w:szCs w:val="24"/>
        </w:rPr>
        <w:t>Strong and positive brand associations can enhance product differentiation and strengthen brand positioning in the market [25]. In the bottled mineral water industry, associations such as “pure water,” “safe,” and “healthy” become important elements in building brand image [26].</w:t>
      </w:r>
    </w:p>
    <w:p w14:paraId="012CD878" w14:textId="77777777" w:rsidR="00DF38B5" w:rsidRPr="00DF38B5" w:rsidRDefault="00DF38B5" w:rsidP="00DF38B5">
      <w:pPr>
        <w:spacing w:after="160" w:line="278" w:lineRule="auto"/>
        <w:jc w:val="both"/>
        <w:rPr>
          <w:rFonts w:ascii="Book Antiqua" w:hAnsi="Book Antiqua"/>
          <w:b/>
          <w:bCs/>
          <w:i/>
          <w:iCs/>
          <w:sz w:val="24"/>
          <w:szCs w:val="24"/>
        </w:rPr>
      </w:pPr>
      <w:r w:rsidRPr="00DF38B5">
        <w:rPr>
          <w:rFonts w:ascii="Book Antiqua" w:hAnsi="Book Antiqua"/>
          <w:b/>
          <w:bCs/>
          <w:i/>
          <w:iCs/>
          <w:sz w:val="24"/>
          <w:szCs w:val="24"/>
        </w:rPr>
        <w:t>Perceived Quality</w:t>
      </w:r>
    </w:p>
    <w:p w14:paraId="2FB7D36D" w14:textId="09BA7282" w:rsidR="00DF38B5"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Perceived quality is consumers’ perception of the overall quality or superiority of a product compared with competing products [6]. Quality perception is not always based on the objective quality of the product but is also influenced by consumer experience, brand reputation, and marketing communication [27].</w:t>
      </w:r>
      <w:r>
        <w:rPr>
          <w:rFonts w:ascii="Book Antiqua" w:hAnsi="Book Antiqua"/>
          <w:sz w:val="24"/>
          <w:szCs w:val="24"/>
        </w:rPr>
        <w:t xml:space="preserve"> </w:t>
      </w:r>
      <w:r w:rsidRPr="0062576E">
        <w:rPr>
          <w:rFonts w:ascii="Book Antiqua" w:hAnsi="Book Antiqua"/>
          <w:sz w:val="24"/>
          <w:szCs w:val="24"/>
        </w:rPr>
        <w:t>In bottled mineral water products, perceived quality is associated with water purity, consumption safety, taste, and production quality standards [28]. The higher consumers’ perceptions of a brand’s quality, the greater the possibility that they will choose and recommend the brand to others [29].</w:t>
      </w:r>
    </w:p>
    <w:p w14:paraId="3EB2B042" w14:textId="77777777" w:rsidR="00DF38B5" w:rsidRPr="0062576E" w:rsidRDefault="00DF38B5" w:rsidP="00DF38B5">
      <w:pPr>
        <w:spacing w:after="160" w:line="278" w:lineRule="auto"/>
        <w:jc w:val="both"/>
        <w:rPr>
          <w:rFonts w:ascii="Book Antiqua" w:hAnsi="Book Antiqua"/>
          <w:sz w:val="24"/>
          <w:szCs w:val="24"/>
        </w:rPr>
      </w:pPr>
    </w:p>
    <w:p w14:paraId="3A36BE20" w14:textId="77777777" w:rsidR="00DF38B5" w:rsidRPr="00DF38B5" w:rsidRDefault="00DF38B5" w:rsidP="00DF38B5">
      <w:pPr>
        <w:spacing w:after="160" w:line="278" w:lineRule="auto"/>
        <w:jc w:val="both"/>
        <w:rPr>
          <w:rFonts w:ascii="Book Antiqua" w:hAnsi="Book Antiqua"/>
          <w:b/>
          <w:bCs/>
          <w:i/>
          <w:iCs/>
          <w:sz w:val="24"/>
          <w:szCs w:val="24"/>
        </w:rPr>
      </w:pPr>
      <w:r w:rsidRPr="00DF38B5">
        <w:rPr>
          <w:rFonts w:ascii="Book Antiqua" w:hAnsi="Book Antiqua"/>
          <w:b/>
          <w:bCs/>
          <w:i/>
          <w:iCs/>
          <w:sz w:val="24"/>
          <w:szCs w:val="24"/>
        </w:rPr>
        <w:t>Brand Loyalty</w:t>
      </w:r>
    </w:p>
    <w:p w14:paraId="6C826140" w14:textId="4A28EC0B"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Brand loyalty is the level of consumer attachment to a particular brand reflected through consistent repeat purchases [6]. Brand loyalty serves as an important indicator of successful brand equity because loyal consumers are generally less likely to switch to competing brands [30].</w:t>
      </w:r>
      <w:r>
        <w:rPr>
          <w:rFonts w:ascii="Book Antiqua" w:hAnsi="Book Antiqua"/>
          <w:sz w:val="24"/>
          <w:szCs w:val="24"/>
        </w:rPr>
        <w:t xml:space="preserve"> </w:t>
      </w:r>
      <w:r w:rsidRPr="0062576E">
        <w:rPr>
          <w:rFonts w:ascii="Book Antiqua" w:hAnsi="Book Antiqua"/>
          <w:sz w:val="24"/>
          <w:szCs w:val="24"/>
        </w:rPr>
        <w:t xml:space="preserve">According to Oliver, customer loyalty is formed through repeated positive experiences and satisfaction with a brand [31]. In the bottled mineral </w:t>
      </w:r>
      <w:r w:rsidRPr="0062576E">
        <w:rPr>
          <w:rFonts w:ascii="Book Antiqua" w:hAnsi="Book Antiqua"/>
          <w:sz w:val="24"/>
          <w:szCs w:val="24"/>
        </w:rPr>
        <w:lastRenderedPageBreak/>
        <w:t>water industry, loyalty may be influenced by consumption habits, product distribution, and perceptions regarding brand safety and quality [32].</w:t>
      </w:r>
    </w:p>
    <w:p w14:paraId="60D9D20E" w14:textId="77777777" w:rsidR="00DF38B5" w:rsidRPr="0062576E" w:rsidRDefault="00DF38B5" w:rsidP="00DF38B5">
      <w:pPr>
        <w:spacing w:after="160" w:line="278" w:lineRule="auto"/>
        <w:jc w:val="both"/>
        <w:rPr>
          <w:rFonts w:ascii="Book Antiqua" w:hAnsi="Book Antiqua"/>
          <w:sz w:val="24"/>
          <w:szCs w:val="24"/>
        </w:rPr>
      </w:pPr>
    </w:p>
    <w:p w14:paraId="1F5C3C07" w14:textId="77777777" w:rsidR="00DF38B5" w:rsidRPr="0062576E" w:rsidRDefault="00DF38B5" w:rsidP="00DF38B5">
      <w:pPr>
        <w:spacing w:after="160" w:line="278" w:lineRule="auto"/>
        <w:jc w:val="both"/>
        <w:rPr>
          <w:rFonts w:ascii="Book Antiqua" w:hAnsi="Book Antiqua"/>
          <w:b/>
          <w:bCs/>
          <w:sz w:val="24"/>
          <w:szCs w:val="24"/>
        </w:rPr>
      </w:pPr>
      <w:r w:rsidRPr="0062576E">
        <w:rPr>
          <w:rFonts w:ascii="Book Antiqua" w:hAnsi="Book Antiqua"/>
          <w:b/>
          <w:bCs/>
          <w:sz w:val="24"/>
          <w:szCs w:val="24"/>
        </w:rPr>
        <w:t>HYPOTHESIS</w:t>
      </w:r>
    </w:p>
    <w:p w14:paraId="3077A353"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 xml:space="preserve">H1: There is a significant difference in brand awareness between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w:t>
      </w:r>
    </w:p>
    <w:p w14:paraId="78C16544"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 xml:space="preserve">H2: There is a significant difference in brand association between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w:t>
      </w:r>
    </w:p>
    <w:p w14:paraId="2E56D1CC"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 xml:space="preserve">H3: There is a significant difference in perceived quality between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w:t>
      </w:r>
    </w:p>
    <w:p w14:paraId="53BB4EC2"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 xml:space="preserve">H4: There is a significant difference in brand loyalty between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w:t>
      </w:r>
    </w:p>
    <w:p w14:paraId="53C94589" w14:textId="77777777" w:rsidR="00DF38B5" w:rsidRPr="0062576E" w:rsidRDefault="00DF38B5" w:rsidP="00DF38B5">
      <w:pPr>
        <w:spacing w:after="160" w:line="278" w:lineRule="auto"/>
        <w:jc w:val="both"/>
        <w:rPr>
          <w:rFonts w:ascii="Book Antiqua" w:hAnsi="Book Antiqua"/>
          <w:sz w:val="24"/>
          <w:szCs w:val="24"/>
        </w:rPr>
      </w:pPr>
    </w:p>
    <w:p w14:paraId="6B7D8989" w14:textId="77777777" w:rsidR="00DF38B5" w:rsidRPr="0062576E" w:rsidRDefault="00DF38B5" w:rsidP="00DF38B5">
      <w:pPr>
        <w:spacing w:after="160" w:line="278" w:lineRule="auto"/>
        <w:jc w:val="both"/>
        <w:rPr>
          <w:rFonts w:ascii="Book Antiqua" w:hAnsi="Book Antiqua"/>
          <w:b/>
          <w:bCs/>
          <w:sz w:val="24"/>
          <w:szCs w:val="24"/>
        </w:rPr>
      </w:pPr>
      <w:r w:rsidRPr="0062576E">
        <w:rPr>
          <w:rFonts w:ascii="Book Antiqua" w:hAnsi="Book Antiqua"/>
          <w:b/>
          <w:bCs/>
          <w:sz w:val="24"/>
          <w:szCs w:val="24"/>
        </w:rPr>
        <w:t>RESEARCH METHOD</w:t>
      </w:r>
    </w:p>
    <w:p w14:paraId="4A1234C5"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This study employed a quantitative approach using a survey method because it aimed to objectively and systematically measure and compare consumer perceptions regarding the brand equity of two bottled mineral water brands [33]. The quantitative approach was selected because it is capable of generating numerical data that can be analyzed using statistical techniques [34].</w:t>
      </w:r>
    </w:p>
    <w:p w14:paraId="089D12F9" w14:textId="0E83DEDD"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 xml:space="preserve">The population of this study consisted of students at Universitas </w:t>
      </w:r>
      <w:proofErr w:type="spellStart"/>
      <w:r w:rsidRPr="0062576E">
        <w:rPr>
          <w:rFonts w:ascii="Book Antiqua" w:hAnsi="Book Antiqua"/>
          <w:sz w:val="24"/>
          <w:szCs w:val="24"/>
        </w:rPr>
        <w:t>Halu</w:t>
      </w:r>
      <w:proofErr w:type="spellEnd"/>
      <w:r w:rsidRPr="0062576E">
        <w:rPr>
          <w:rFonts w:ascii="Book Antiqua" w:hAnsi="Book Antiqua"/>
          <w:sz w:val="24"/>
          <w:szCs w:val="24"/>
        </w:rPr>
        <w:t xml:space="preserve"> Oleo who consume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bottled mineral water products. Students were selected as research subjects because they represent active consumer groups with relatively high bottled mineral water consumption levels [14].</w:t>
      </w:r>
      <w:r w:rsidR="00C53137">
        <w:rPr>
          <w:rFonts w:ascii="Book Antiqua" w:hAnsi="Book Antiqua"/>
          <w:sz w:val="24"/>
          <w:szCs w:val="24"/>
        </w:rPr>
        <w:t xml:space="preserve"> </w:t>
      </w:r>
      <w:r w:rsidRPr="0062576E">
        <w:rPr>
          <w:rFonts w:ascii="Book Antiqua" w:hAnsi="Book Antiqua"/>
          <w:sz w:val="24"/>
          <w:szCs w:val="24"/>
        </w:rPr>
        <w:t xml:space="preserve">The sample size was determined using the Hair et al. approach, which recommends a minimum sample size of five times the number of research indicators [35]. This study used 16 indicators, resulting in a total sample size of 80 respondents. The sampling technique employed was purposive sampling with the criterion that respondents had consumed both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within the last three months.</w:t>
      </w:r>
      <w:r w:rsidR="00C53137">
        <w:rPr>
          <w:rFonts w:ascii="Book Antiqua" w:hAnsi="Book Antiqua"/>
          <w:sz w:val="24"/>
          <w:szCs w:val="24"/>
        </w:rPr>
        <w:t xml:space="preserve"> </w:t>
      </w:r>
      <w:r w:rsidRPr="0062576E">
        <w:rPr>
          <w:rFonts w:ascii="Book Antiqua" w:hAnsi="Book Antiqua"/>
          <w:sz w:val="24"/>
          <w:szCs w:val="24"/>
        </w:rPr>
        <w:t>Data were collected using questionnaires with a five-point Likert scale ranging from strongly disagree to strongly agree [36]. The research variables consisted of:</w:t>
      </w:r>
    </w:p>
    <w:p w14:paraId="0CED98CD" w14:textId="77777777" w:rsidR="00DF38B5" w:rsidRPr="0062576E" w:rsidRDefault="00DF38B5" w:rsidP="00DF38B5">
      <w:pPr>
        <w:numPr>
          <w:ilvl w:val="0"/>
          <w:numId w:val="1"/>
        </w:numPr>
        <w:spacing w:after="160" w:line="278" w:lineRule="auto"/>
        <w:jc w:val="both"/>
        <w:rPr>
          <w:rFonts w:ascii="Book Antiqua" w:hAnsi="Book Antiqua"/>
          <w:sz w:val="24"/>
          <w:szCs w:val="24"/>
        </w:rPr>
      </w:pPr>
      <w:r w:rsidRPr="0062576E">
        <w:rPr>
          <w:rFonts w:ascii="Book Antiqua" w:hAnsi="Book Antiqua"/>
          <w:sz w:val="24"/>
          <w:szCs w:val="24"/>
        </w:rPr>
        <w:t xml:space="preserve">Brand Awareness </w:t>
      </w:r>
    </w:p>
    <w:p w14:paraId="120BA8BF" w14:textId="77777777" w:rsidR="00DF38B5" w:rsidRPr="0062576E" w:rsidRDefault="00DF38B5" w:rsidP="00DF38B5">
      <w:pPr>
        <w:numPr>
          <w:ilvl w:val="0"/>
          <w:numId w:val="1"/>
        </w:numPr>
        <w:spacing w:after="160" w:line="278" w:lineRule="auto"/>
        <w:jc w:val="both"/>
        <w:rPr>
          <w:rFonts w:ascii="Book Antiqua" w:hAnsi="Book Antiqua"/>
          <w:sz w:val="24"/>
          <w:szCs w:val="24"/>
        </w:rPr>
      </w:pPr>
      <w:r w:rsidRPr="0062576E">
        <w:rPr>
          <w:rFonts w:ascii="Book Antiqua" w:hAnsi="Book Antiqua"/>
          <w:sz w:val="24"/>
          <w:szCs w:val="24"/>
        </w:rPr>
        <w:t xml:space="preserve">Brand Association </w:t>
      </w:r>
    </w:p>
    <w:p w14:paraId="64556AAC" w14:textId="77777777" w:rsidR="00DF38B5" w:rsidRPr="0062576E" w:rsidRDefault="00DF38B5" w:rsidP="00DF38B5">
      <w:pPr>
        <w:numPr>
          <w:ilvl w:val="0"/>
          <w:numId w:val="1"/>
        </w:numPr>
        <w:spacing w:after="160" w:line="278" w:lineRule="auto"/>
        <w:jc w:val="both"/>
        <w:rPr>
          <w:rFonts w:ascii="Book Antiqua" w:hAnsi="Book Antiqua"/>
          <w:sz w:val="24"/>
          <w:szCs w:val="24"/>
        </w:rPr>
      </w:pPr>
      <w:r w:rsidRPr="0062576E">
        <w:rPr>
          <w:rFonts w:ascii="Book Antiqua" w:hAnsi="Book Antiqua"/>
          <w:sz w:val="24"/>
          <w:szCs w:val="24"/>
        </w:rPr>
        <w:lastRenderedPageBreak/>
        <w:t xml:space="preserve">Perceived Quality </w:t>
      </w:r>
    </w:p>
    <w:p w14:paraId="3BEA26AB" w14:textId="77777777" w:rsidR="00DF38B5" w:rsidRPr="0062576E" w:rsidRDefault="00DF38B5" w:rsidP="00DF38B5">
      <w:pPr>
        <w:numPr>
          <w:ilvl w:val="0"/>
          <w:numId w:val="1"/>
        </w:numPr>
        <w:spacing w:after="160" w:line="278" w:lineRule="auto"/>
        <w:jc w:val="both"/>
        <w:rPr>
          <w:rFonts w:ascii="Book Antiqua" w:hAnsi="Book Antiqua"/>
          <w:sz w:val="24"/>
          <w:szCs w:val="24"/>
        </w:rPr>
      </w:pPr>
      <w:r w:rsidRPr="0062576E">
        <w:rPr>
          <w:rFonts w:ascii="Book Antiqua" w:hAnsi="Book Antiqua"/>
          <w:sz w:val="24"/>
          <w:szCs w:val="24"/>
        </w:rPr>
        <w:t xml:space="preserve">Brand Loyalty </w:t>
      </w:r>
    </w:p>
    <w:p w14:paraId="20DA5453"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 xml:space="preserve">Data analysis was conducted using descriptive statistics to describe respondent characteristics and the Independent Sample T-Test to identify differences in brand equity between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[37]. Data processing was performed using IBM SPSS Statistics.</w:t>
      </w:r>
    </w:p>
    <w:p w14:paraId="72E1C4B3" w14:textId="77777777" w:rsidR="00DF38B5" w:rsidRPr="0062576E" w:rsidRDefault="00DF38B5" w:rsidP="00DF38B5">
      <w:pPr>
        <w:spacing w:after="160" w:line="278" w:lineRule="auto"/>
        <w:jc w:val="both"/>
        <w:rPr>
          <w:rFonts w:ascii="Book Antiqua" w:hAnsi="Book Antiqua"/>
          <w:sz w:val="24"/>
          <w:szCs w:val="24"/>
        </w:rPr>
      </w:pPr>
    </w:p>
    <w:p w14:paraId="5A43EAFB" w14:textId="77777777" w:rsidR="00DF38B5" w:rsidRPr="0062576E" w:rsidRDefault="00DF38B5" w:rsidP="00DF38B5">
      <w:pPr>
        <w:spacing w:after="160" w:line="278" w:lineRule="auto"/>
        <w:jc w:val="both"/>
        <w:rPr>
          <w:rFonts w:ascii="Book Antiqua" w:hAnsi="Book Antiqua"/>
          <w:b/>
          <w:bCs/>
          <w:sz w:val="24"/>
          <w:szCs w:val="24"/>
        </w:rPr>
      </w:pPr>
      <w:r w:rsidRPr="0062576E">
        <w:rPr>
          <w:rFonts w:ascii="Book Antiqua" w:hAnsi="Book Antiqua"/>
          <w:b/>
          <w:bCs/>
          <w:sz w:val="24"/>
          <w:szCs w:val="24"/>
        </w:rPr>
        <w:t>RESULTS AND DISCUSSION</w:t>
      </w:r>
    </w:p>
    <w:p w14:paraId="7A9A8502" w14:textId="77777777" w:rsidR="00DF38B5" w:rsidRPr="00C53137" w:rsidRDefault="00DF38B5" w:rsidP="00DF38B5">
      <w:pPr>
        <w:spacing w:after="160" w:line="278" w:lineRule="auto"/>
        <w:jc w:val="both"/>
        <w:rPr>
          <w:rFonts w:ascii="Book Antiqua" w:hAnsi="Book Antiqua"/>
          <w:b/>
          <w:bCs/>
          <w:i/>
          <w:iCs/>
          <w:sz w:val="24"/>
          <w:szCs w:val="24"/>
        </w:rPr>
      </w:pPr>
      <w:r w:rsidRPr="00C53137">
        <w:rPr>
          <w:rFonts w:ascii="Book Antiqua" w:hAnsi="Book Antiqua"/>
          <w:b/>
          <w:bCs/>
          <w:i/>
          <w:iCs/>
          <w:sz w:val="24"/>
          <w:szCs w:val="24"/>
        </w:rPr>
        <w:t>Respondent Characteristics</w:t>
      </w:r>
    </w:p>
    <w:p w14:paraId="14ED982A"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 xml:space="preserve">Based on the research findings, the majority of respondents were students aged between 18–23 years who consumed bottled mineral water more than </w:t>
      </w:r>
      <w:r w:rsidRPr="0062576E">
        <w:rPr>
          <w:rFonts w:ascii="Book Antiqua" w:hAnsi="Book Antiqua"/>
        </w:rPr>
        <w:t>once</w:t>
      </w:r>
      <w:r w:rsidRPr="0062576E">
        <w:rPr>
          <w:rFonts w:ascii="Book Antiqua" w:hAnsi="Book Antiqua"/>
          <w:sz w:val="24"/>
          <w:szCs w:val="24"/>
        </w:rPr>
        <w:t xml:space="preserve"> a day. This finding indicates that bottled mineral water has become an important part of students’ daily activities, particularly in supporting mobility and academic routines [14].</w:t>
      </w:r>
    </w:p>
    <w:p w14:paraId="79F32F3D" w14:textId="77777777" w:rsidR="00DF38B5" w:rsidRPr="00C53137" w:rsidRDefault="00DF38B5" w:rsidP="00DF38B5">
      <w:pPr>
        <w:spacing w:after="160" w:line="278" w:lineRule="auto"/>
        <w:jc w:val="both"/>
        <w:rPr>
          <w:rFonts w:ascii="Book Antiqua" w:hAnsi="Book Antiqua"/>
          <w:b/>
          <w:bCs/>
          <w:i/>
          <w:iCs/>
          <w:sz w:val="24"/>
          <w:szCs w:val="24"/>
        </w:rPr>
      </w:pPr>
      <w:r w:rsidRPr="00C53137">
        <w:rPr>
          <w:rFonts w:ascii="Book Antiqua" w:hAnsi="Book Antiqua"/>
          <w:b/>
          <w:bCs/>
          <w:i/>
          <w:iCs/>
          <w:sz w:val="24"/>
          <w:szCs w:val="24"/>
        </w:rPr>
        <w:t>Descriptive Analysis Results</w:t>
      </w:r>
    </w:p>
    <w:p w14:paraId="016828E8"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 xml:space="preserve">The descriptive analysis results showed that AQUA obtained higher average scores than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in the dimensions of brand awareness, brand association, and perceived quality. AQUA’s high brand awareness indicates that the brand occupies a strong top-of-mind position among consumers [22].</w:t>
      </w:r>
    </w:p>
    <w:p w14:paraId="13F5F592"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AQUA’s superiority in brand association is influenced by its long-established image as a trusted and safe bottled mineral water brand [10]. Consumers tend to associate AQUA with high quality, water purity, and a good corporate reputation [26].</w:t>
      </w:r>
    </w:p>
    <w:p w14:paraId="5DDA98BD"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 xml:space="preserve">In the perceived quality dimension, AQUA also received higher evaluations compared with Le </w:t>
      </w:r>
      <w:proofErr w:type="spellStart"/>
      <w:r w:rsidRPr="0062576E">
        <w:rPr>
          <w:rFonts w:ascii="Book Antiqua" w:hAnsi="Book Antiqua"/>
          <w:sz w:val="24"/>
          <w:szCs w:val="24"/>
        </w:rPr>
        <w:t>Minerale</w:t>
      </w:r>
      <w:proofErr w:type="spellEnd"/>
      <w:r w:rsidRPr="0062576E">
        <w:rPr>
          <w:rFonts w:ascii="Book Antiqua" w:hAnsi="Book Antiqua"/>
          <w:sz w:val="24"/>
          <w:szCs w:val="24"/>
        </w:rPr>
        <w:t>. This indicates that consumers perceive AQUA as offering more reliable and consistent product quality [28]. Positive quality perceptions can increase consumer confidence regarding product safety and benefits [27].</w:t>
      </w:r>
    </w:p>
    <w:p w14:paraId="26226091"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 xml:space="preserve">However, in the brand loyalty dimension, no significant difference was found between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 This finding suggests that both brands have successfully built relatively comparable consumer loyalty. Consumer loyalty toward bottled mineral water products is not solely influenced by brand quality but also by consumption habits, product availability, and ease of access [32].</w:t>
      </w:r>
    </w:p>
    <w:p w14:paraId="0FDF6B01" w14:textId="77777777" w:rsidR="00DF38B5" w:rsidRPr="00C53137" w:rsidRDefault="00DF38B5" w:rsidP="00DF38B5">
      <w:pPr>
        <w:jc w:val="both"/>
        <w:rPr>
          <w:rFonts w:ascii="Book Antiqua" w:hAnsi="Book Antiqua"/>
          <w:b/>
          <w:bCs/>
          <w:i/>
          <w:iCs/>
        </w:rPr>
      </w:pPr>
      <w:r w:rsidRPr="00C53137">
        <w:rPr>
          <w:rFonts w:ascii="Book Antiqua" w:hAnsi="Book Antiqua"/>
          <w:b/>
          <w:bCs/>
          <w:i/>
          <w:iCs/>
          <w:sz w:val="24"/>
          <w:szCs w:val="24"/>
        </w:rPr>
        <w:t>Independent Sample T-Test Results</w:t>
      </w:r>
    </w:p>
    <w:p w14:paraId="0918AE0E" w14:textId="77777777" w:rsidR="00DF38B5" w:rsidRPr="0062576E" w:rsidRDefault="00DF38B5" w:rsidP="00DF38B5">
      <w:pPr>
        <w:spacing w:after="160" w:line="278" w:lineRule="auto"/>
        <w:jc w:val="center"/>
        <w:rPr>
          <w:rFonts w:ascii="Book Antiqua" w:hAnsi="Book Antiqua"/>
          <w:b/>
          <w:bCs/>
          <w:sz w:val="24"/>
          <w:szCs w:val="24"/>
        </w:rPr>
      </w:pPr>
      <w:r w:rsidRPr="0062576E">
        <w:rPr>
          <w:rFonts w:ascii="Book Antiqua" w:hAnsi="Book Antiqua"/>
          <w:b/>
          <w:bCs/>
        </w:rPr>
        <w:t>Table 1. Results of the Independent Sample t-Test</w:t>
      </w:r>
    </w:p>
    <w:tbl>
      <w:tblPr>
        <w:tblStyle w:val="TabelKisi2"/>
        <w:tblW w:w="0" w:type="auto"/>
        <w:tblLook w:val="04A0" w:firstRow="1" w:lastRow="0" w:firstColumn="1" w:lastColumn="0" w:noHBand="0" w:noVBand="1"/>
      </w:tblPr>
      <w:tblGrid>
        <w:gridCol w:w="1890"/>
        <w:gridCol w:w="894"/>
        <w:gridCol w:w="1350"/>
        <w:gridCol w:w="1260"/>
        <w:gridCol w:w="900"/>
        <w:gridCol w:w="1260"/>
        <w:gridCol w:w="1530"/>
      </w:tblGrid>
      <w:tr w:rsidR="00DF38B5" w:rsidRPr="0062576E" w14:paraId="7699DC67" w14:textId="77777777" w:rsidTr="00C531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hideMark/>
          </w:tcPr>
          <w:p w14:paraId="12D9F467" w14:textId="77777777" w:rsidR="00DF38B5" w:rsidRPr="0062576E" w:rsidRDefault="00DF38B5" w:rsidP="00851341">
            <w:pPr>
              <w:pStyle w:val="TeksIsi"/>
              <w:widowControl w:val="0"/>
              <w:autoSpaceDE w:val="0"/>
              <w:autoSpaceDN w:val="0"/>
              <w:rPr>
                <w:rFonts w:ascii="Book Antiqua" w:hAnsi="Book Antiqua"/>
                <w:sz w:val="18"/>
                <w:szCs w:val="18"/>
                <w:lang w:val="en-US"/>
              </w:rPr>
            </w:pPr>
            <w:r w:rsidRPr="0062576E">
              <w:rPr>
                <w:rFonts w:ascii="Book Antiqua" w:hAnsi="Book Antiqua"/>
                <w:sz w:val="18"/>
                <w:szCs w:val="18"/>
                <w:lang w:val="en-US"/>
              </w:rPr>
              <w:t xml:space="preserve">Brand Equity </w:t>
            </w:r>
            <w:r w:rsidRPr="0062576E">
              <w:rPr>
                <w:rFonts w:ascii="Book Antiqua" w:hAnsi="Book Antiqua"/>
                <w:sz w:val="18"/>
                <w:szCs w:val="18"/>
                <w:lang w:val="en-US"/>
              </w:rPr>
              <w:lastRenderedPageBreak/>
              <w:t>Dimension</w:t>
            </w:r>
          </w:p>
        </w:tc>
        <w:tc>
          <w:tcPr>
            <w:tcW w:w="894" w:type="dxa"/>
            <w:shd w:val="clear" w:color="auto" w:fill="D9D9D9" w:themeFill="background1" w:themeFillShade="D9"/>
            <w:hideMark/>
          </w:tcPr>
          <w:p w14:paraId="4E81D86D" w14:textId="77777777" w:rsidR="00DF38B5" w:rsidRPr="0062576E" w:rsidRDefault="00DF38B5" w:rsidP="00851341">
            <w:pPr>
              <w:pStyle w:val="TeksIsi"/>
              <w:widowControl w:val="0"/>
              <w:autoSpaceDE w:val="0"/>
              <w:autoSpaceDN w:val="0"/>
              <w:cnfStyle w:val="100000000000" w:firstRow="1"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lastRenderedPageBreak/>
              <w:t xml:space="preserve">AQUA </w:t>
            </w:r>
            <w:r w:rsidRPr="0062576E">
              <w:rPr>
                <w:rFonts w:ascii="Book Antiqua" w:hAnsi="Book Antiqua"/>
                <w:sz w:val="18"/>
                <w:szCs w:val="18"/>
                <w:lang w:val="en-US"/>
              </w:rPr>
              <w:lastRenderedPageBreak/>
              <w:t>Mean</w:t>
            </w:r>
          </w:p>
        </w:tc>
        <w:tc>
          <w:tcPr>
            <w:tcW w:w="1350" w:type="dxa"/>
            <w:shd w:val="clear" w:color="auto" w:fill="D9D9D9" w:themeFill="background1" w:themeFillShade="D9"/>
            <w:hideMark/>
          </w:tcPr>
          <w:p w14:paraId="6658B299" w14:textId="77777777" w:rsidR="00DF38B5" w:rsidRPr="0062576E" w:rsidRDefault="00DF38B5" w:rsidP="00851341">
            <w:pPr>
              <w:pStyle w:val="TeksIsi"/>
              <w:widowControl w:val="0"/>
              <w:autoSpaceDE w:val="0"/>
              <w:autoSpaceDN w:val="0"/>
              <w:cnfStyle w:val="100000000000" w:firstRow="1"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lastRenderedPageBreak/>
              <w:t xml:space="preserve">Le </w:t>
            </w:r>
            <w:proofErr w:type="spellStart"/>
            <w:r w:rsidRPr="0062576E">
              <w:rPr>
                <w:rFonts w:ascii="Book Antiqua" w:hAnsi="Book Antiqua"/>
                <w:sz w:val="18"/>
                <w:szCs w:val="18"/>
                <w:lang w:val="en-US"/>
              </w:rPr>
              <w:t>Minerale</w:t>
            </w:r>
            <w:proofErr w:type="spellEnd"/>
            <w:r w:rsidRPr="0062576E">
              <w:rPr>
                <w:rFonts w:ascii="Book Antiqua" w:hAnsi="Book Antiqua"/>
                <w:sz w:val="18"/>
                <w:szCs w:val="18"/>
                <w:lang w:val="en-US"/>
              </w:rPr>
              <w:t xml:space="preserve"> </w:t>
            </w:r>
            <w:r w:rsidRPr="0062576E">
              <w:rPr>
                <w:rFonts w:ascii="Book Antiqua" w:hAnsi="Book Antiqua"/>
                <w:sz w:val="18"/>
                <w:szCs w:val="18"/>
                <w:lang w:val="en-US"/>
              </w:rPr>
              <w:lastRenderedPageBreak/>
              <w:t>Mean</w:t>
            </w:r>
          </w:p>
        </w:tc>
        <w:tc>
          <w:tcPr>
            <w:tcW w:w="1260" w:type="dxa"/>
            <w:shd w:val="clear" w:color="auto" w:fill="D9D9D9" w:themeFill="background1" w:themeFillShade="D9"/>
            <w:hideMark/>
          </w:tcPr>
          <w:p w14:paraId="73C89216" w14:textId="77777777" w:rsidR="00DF38B5" w:rsidRPr="0062576E" w:rsidRDefault="00DF38B5" w:rsidP="00851341">
            <w:pPr>
              <w:pStyle w:val="TeksIsi"/>
              <w:widowControl w:val="0"/>
              <w:autoSpaceDE w:val="0"/>
              <w:autoSpaceDN w:val="0"/>
              <w:cnfStyle w:val="100000000000" w:firstRow="1"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lastRenderedPageBreak/>
              <w:t xml:space="preserve">Mean </w:t>
            </w:r>
            <w:r w:rsidRPr="0062576E">
              <w:rPr>
                <w:rFonts w:ascii="Book Antiqua" w:hAnsi="Book Antiqua"/>
                <w:sz w:val="18"/>
                <w:szCs w:val="18"/>
                <w:lang w:val="en-US"/>
              </w:rPr>
              <w:lastRenderedPageBreak/>
              <w:t>Difference</w:t>
            </w:r>
          </w:p>
        </w:tc>
        <w:tc>
          <w:tcPr>
            <w:tcW w:w="900" w:type="dxa"/>
            <w:shd w:val="clear" w:color="auto" w:fill="D9D9D9" w:themeFill="background1" w:themeFillShade="D9"/>
            <w:hideMark/>
          </w:tcPr>
          <w:p w14:paraId="70995584" w14:textId="77777777" w:rsidR="00DF38B5" w:rsidRPr="0062576E" w:rsidRDefault="00DF38B5" w:rsidP="00851341">
            <w:pPr>
              <w:pStyle w:val="TeksIsi"/>
              <w:widowControl w:val="0"/>
              <w:autoSpaceDE w:val="0"/>
              <w:autoSpaceDN w:val="0"/>
              <w:cnfStyle w:val="100000000000" w:firstRow="1"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lastRenderedPageBreak/>
              <w:t>t-value</w:t>
            </w:r>
          </w:p>
        </w:tc>
        <w:tc>
          <w:tcPr>
            <w:tcW w:w="1260" w:type="dxa"/>
            <w:shd w:val="clear" w:color="auto" w:fill="D9D9D9" w:themeFill="background1" w:themeFillShade="D9"/>
            <w:hideMark/>
          </w:tcPr>
          <w:p w14:paraId="4572AF26" w14:textId="77777777" w:rsidR="00DF38B5" w:rsidRPr="0062576E" w:rsidRDefault="00DF38B5" w:rsidP="00851341">
            <w:pPr>
              <w:pStyle w:val="TeksIsi"/>
              <w:widowControl w:val="0"/>
              <w:autoSpaceDE w:val="0"/>
              <w:autoSpaceDN w:val="0"/>
              <w:cnfStyle w:val="100000000000" w:firstRow="1"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Sig. (2-</w:t>
            </w:r>
            <w:r w:rsidRPr="0062576E">
              <w:rPr>
                <w:rFonts w:ascii="Book Antiqua" w:hAnsi="Book Antiqua"/>
                <w:sz w:val="18"/>
                <w:szCs w:val="18"/>
                <w:lang w:val="en-US"/>
              </w:rPr>
              <w:lastRenderedPageBreak/>
              <w:t>tailed)</w:t>
            </w:r>
          </w:p>
        </w:tc>
        <w:tc>
          <w:tcPr>
            <w:tcW w:w="1530" w:type="dxa"/>
            <w:shd w:val="clear" w:color="auto" w:fill="D9D9D9" w:themeFill="background1" w:themeFillShade="D9"/>
            <w:hideMark/>
          </w:tcPr>
          <w:p w14:paraId="5BB62AEE" w14:textId="77777777" w:rsidR="00DF38B5" w:rsidRPr="0062576E" w:rsidRDefault="00DF38B5" w:rsidP="00851341">
            <w:pPr>
              <w:pStyle w:val="TeksIsi"/>
              <w:widowControl w:val="0"/>
              <w:autoSpaceDE w:val="0"/>
              <w:autoSpaceDN w:val="0"/>
              <w:cnfStyle w:val="100000000000" w:firstRow="1"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lastRenderedPageBreak/>
              <w:t>Interpretation</w:t>
            </w:r>
          </w:p>
        </w:tc>
      </w:tr>
      <w:tr w:rsidR="00DF38B5" w:rsidRPr="0062576E" w14:paraId="15F8015E" w14:textId="77777777" w:rsidTr="00C531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7A9437F" w14:textId="77777777" w:rsidR="00DF38B5" w:rsidRPr="0062576E" w:rsidRDefault="00DF38B5" w:rsidP="00851341">
            <w:pPr>
              <w:pStyle w:val="TeksIsi"/>
              <w:widowControl w:val="0"/>
              <w:autoSpaceDE w:val="0"/>
              <w:autoSpaceDN w:val="0"/>
              <w:rPr>
                <w:rFonts w:ascii="Book Antiqua" w:hAnsi="Book Antiqua"/>
                <w:sz w:val="18"/>
                <w:szCs w:val="18"/>
                <w:lang w:val="en-US"/>
              </w:rPr>
            </w:pPr>
            <w:r w:rsidRPr="0062576E">
              <w:rPr>
                <w:rFonts w:ascii="Book Antiqua" w:hAnsi="Book Antiqua"/>
                <w:sz w:val="18"/>
                <w:szCs w:val="18"/>
                <w:lang w:val="en-US"/>
              </w:rPr>
              <w:t>Brand Awareness</w:t>
            </w:r>
          </w:p>
        </w:tc>
        <w:tc>
          <w:tcPr>
            <w:tcW w:w="894" w:type="dxa"/>
            <w:shd w:val="clear" w:color="auto" w:fill="FFFFFF" w:themeFill="background1"/>
            <w:hideMark/>
          </w:tcPr>
          <w:p w14:paraId="038F1E28" w14:textId="77777777" w:rsidR="00DF38B5" w:rsidRPr="0062576E" w:rsidRDefault="00DF38B5" w:rsidP="00851341">
            <w:pPr>
              <w:pStyle w:val="TeksIsi"/>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13.885</w:t>
            </w:r>
          </w:p>
        </w:tc>
        <w:tc>
          <w:tcPr>
            <w:tcW w:w="1350" w:type="dxa"/>
            <w:shd w:val="clear" w:color="auto" w:fill="FFFFFF" w:themeFill="background1"/>
            <w:hideMark/>
          </w:tcPr>
          <w:p w14:paraId="24848ECB" w14:textId="77777777" w:rsidR="00DF38B5" w:rsidRPr="0062576E" w:rsidRDefault="00DF38B5" w:rsidP="00851341">
            <w:pPr>
              <w:pStyle w:val="TeksIsi"/>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12.350</w:t>
            </w:r>
          </w:p>
        </w:tc>
        <w:tc>
          <w:tcPr>
            <w:tcW w:w="1260" w:type="dxa"/>
            <w:shd w:val="clear" w:color="auto" w:fill="FFFFFF" w:themeFill="background1"/>
            <w:hideMark/>
          </w:tcPr>
          <w:p w14:paraId="0C66C64F" w14:textId="77777777" w:rsidR="00DF38B5" w:rsidRPr="0062576E" w:rsidRDefault="00DF38B5" w:rsidP="00851341">
            <w:pPr>
              <w:pStyle w:val="TeksIsi"/>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0.925</w:t>
            </w:r>
          </w:p>
        </w:tc>
        <w:tc>
          <w:tcPr>
            <w:tcW w:w="900" w:type="dxa"/>
            <w:shd w:val="clear" w:color="auto" w:fill="FFFFFF" w:themeFill="background1"/>
            <w:hideMark/>
          </w:tcPr>
          <w:p w14:paraId="5DD27FE4" w14:textId="77777777" w:rsidR="00DF38B5" w:rsidRPr="0062576E" w:rsidRDefault="00DF38B5" w:rsidP="00851341">
            <w:pPr>
              <w:pStyle w:val="TeksIsi"/>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2.589</w:t>
            </w:r>
          </w:p>
        </w:tc>
        <w:tc>
          <w:tcPr>
            <w:tcW w:w="1260" w:type="dxa"/>
            <w:shd w:val="clear" w:color="auto" w:fill="FFFFFF" w:themeFill="background1"/>
            <w:hideMark/>
          </w:tcPr>
          <w:p w14:paraId="6F813AB2" w14:textId="77777777" w:rsidR="00DF38B5" w:rsidRPr="0062576E" w:rsidRDefault="00DF38B5" w:rsidP="00851341">
            <w:pPr>
              <w:pStyle w:val="TeksIsi"/>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0.011</w:t>
            </w:r>
          </w:p>
        </w:tc>
        <w:tc>
          <w:tcPr>
            <w:tcW w:w="1530" w:type="dxa"/>
            <w:shd w:val="clear" w:color="auto" w:fill="FFFFFF" w:themeFill="background1"/>
            <w:hideMark/>
          </w:tcPr>
          <w:p w14:paraId="4BB5BBF2" w14:textId="77777777" w:rsidR="00DF38B5" w:rsidRPr="0062576E" w:rsidRDefault="00DF38B5" w:rsidP="00851341">
            <w:pPr>
              <w:pStyle w:val="TeksIsi"/>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Significant difference</w:t>
            </w:r>
          </w:p>
        </w:tc>
      </w:tr>
      <w:tr w:rsidR="00DF38B5" w:rsidRPr="0062576E" w14:paraId="3D4B0451" w14:textId="77777777" w:rsidTr="00C53137">
        <w:tc>
          <w:tcPr>
            <w:cnfStyle w:val="001000000000" w:firstRow="0" w:lastRow="0" w:firstColumn="1" w:lastColumn="0" w:oddVBand="0" w:evenVBand="0" w:oddHBand="0" w:evenHBand="0" w:firstRowFirstColumn="0" w:firstRowLastColumn="0" w:lastRowFirstColumn="0" w:lastRowLastColumn="0"/>
            <w:tcW w:w="0" w:type="auto"/>
            <w:hideMark/>
          </w:tcPr>
          <w:p w14:paraId="66592D71" w14:textId="77777777" w:rsidR="00DF38B5" w:rsidRPr="0062576E" w:rsidRDefault="00DF38B5" w:rsidP="00851341">
            <w:pPr>
              <w:pStyle w:val="TeksIsi"/>
              <w:widowControl w:val="0"/>
              <w:autoSpaceDE w:val="0"/>
              <w:autoSpaceDN w:val="0"/>
              <w:rPr>
                <w:rFonts w:ascii="Book Antiqua" w:hAnsi="Book Antiqua"/>
                <w:sz w:val="18"/>
                <w:szCs w:val="18"/>
                <w:lang w:val="en-US"/>
              </w:rPr>
            </w:pPr>
            <w:r w:rsidRPr="0062576E">
              <w:rPr>
                <w:rFonts w:ascii="Book Antiqua" w:hAnsi="Book Antiqua"/>
                <w:sz w:val="18"/>
                <w:szCs w:val="18"/>
                <w:lang w:val="en-US"/>
              </w:rPr>
              <w:t>Brand Association</w:t>
            </w:r>
          </w:p>
        </w:tc>
        <w:tc>
          <w:tcPr>
            <w:tcW w:w="894" w:type="dxa"/>
            <w:hideMark/>
          </w:tcPr>
          <w:p w14:paraId="06312E08" w14:textId="77777777" w:rsidR="00DF38B5" w:rsidRPr="0062576E" w:rsidRDefault="00DF38B5" w:rsidP="00851341">
            <w:pPr>
              <w:pStyle w:val="TeksIsi"/>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13.225</w:t>
            </w:r>
          </w:p>
        </w:tc>
        <w:tc>
          <w:tcPr>
            <w:tcW w:w="1350" w:type="dxa"/>
            <w:hideMark/>
          </w:tcPr>
          <w:p w14:paraId="27BFA48D" w14:textId="77777777" w:rsidR="00DF38B5" w:rsidRPr="0062576E" w:rsidRDefault="00DF38B5" w:rsidP="00851341">
            <w:pPr>
              <w:pStyle w:val="TeksIsi"/>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12.775</w:t>
            </w:r>
          </w:p>
        </w:tc>
        <w:tc>
          <w:tcPr>
            <w:tcW w:w="1260" w:type="dxa"/>
            <w:hideMark/>
          </w:tcPr>
          <w:p w14:paraId="7E187F2C" w14:textId="77777777" w:rsidR="00DF38B5" w:rsidRPr="0062576E" w:rsidRDefault="00DF38B5" w:rsidP="00851341">
            <w:pPr>
              <w:pStyle w:val="TeksIsi"/>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1.050</w:t>
            </w:r>
          </w:p>
        </w:tc>
        <w:tc>
          <w:tcPr>
            <w:tcW w:w="900" w:type="dxa"/>
            <w:hideMark/>
          </w:tcPr>
          <w:p w14:paraId="0CD3C5E8" w14:textId="77777777" w:rsidR="00DF38B5" w:rsidRPr="0062576E" w:rsidRDefault="00DF38B5" w:rsidP="00851341">
            <w:pPr>
              <w:pStyle w:val="TeksIsi"/>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3.192</w:t>
            </w:r>
          </w:p>
        </w:tc>
        <w:tc>
          <w:tcPr>
            <w:tcW w:w="1260" w:type="dxa"/>
            <w:hideMark/>
          </w:tcPr>
          <w:p w14:paraId="335BFFC4" w14:textId="77777777" w:rsidR="00DF38B5" w:rsidRPr="0062576E" w:rsidRDefault="00DF38B5" w:rsidP="00851341">
            <w:pPr>
              <w:pStyle w:val="TeksIsi"/>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0.002</w:t>
            </w:r>
          </w:p>
        </w:tc>
        <w:tc>
          <w:tcPr>
            <w:tcW w:w="1530" w:type="dxa"/>
            <w:hideMark/>
          </w:tcPr>
          <w:p w14:paraId="6B6FDBAA" w14:textId="77777777" w:rsidR="00DF38B5" w:rsidRPr="0062576E" w:rsidRDefault="00DF38B5" w:rsidP="00851341">
            <w:pPr>
              <w:pStyle w:val="TeksIsi"/>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Significant difference</w:t>
            </w:r>
          </w:p>
        </w:tc>
      </w:tr>
      <w:tr w:rsidR="00DF38B5" w:rsidRPr="0062576E" w14:paraId="08C342E1" w14:textId="77777777" w:rsidTr="00C531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1F15F23" w14:textId="77777777" w:rsidR="00DF38B5" w:rsidRPr="0062576E" w:rsidRDefault="00DF38B5" w:rsidP="00851341">
            <w:pPr>
              <w:pStyle w:val="TeksIsi"/>
              <w:widowControl w:val="0"/>
              <w:autoSpaceDE w:val="0"/>
              <w:autoSpaceDN w:val="0"/>
              <w:rPr>
                <w:rFonts w:ascii="Book Antiqua" w:hAnsi="Book Antiqua"/>
                <w:sz w:val="18"/>
                <w:szCs w:val="18"/>
                <w:lang w:val="en-US"/>
              </w:rPr>
            </w:pPr>
            <w:r w:rsidRPr="0062576E">
              <w:rPr>
                <w:rFonts w:ascii="Book Antiqua" w:hAnsi="Book Antiqua"/>
                <w:sz w:val="18"/>
                <w:szCs w:val="18"/>
                <w:lang w:val="en-US"/>
              </w:rPr>
              <w:t>Perceived Quality</w:t>
            </w:r>
          </w:p>
        </w:tc>
        <w:tc>
          <w:tcPr>
            <w:tcW w:w="894" w:type="dxa"/>
            <w:shd w:val="clear" w:color="auto" w:fill="FFFFFF" w:themeFill="background1"/>
            <w:hideMark/>
          </w:tcPr>
          <w:p w14:paraId="23DB6EAD" w14:textId="77777777" w:rsidR="00DF38B5" w:rsidRPr="0062576E" w:rsidRDefault="00DF38B5" w:rsidP="00851341">
            <w:pPr>
              <w:pStyle w:val="TeksIsi"/>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12.975</w:t>
            </w:r>
          </w:p>
        </w:tc>
        <w:tc>
          <w:tcPr>
            <w:tcW w:w="1350" w:type="dxa"/>
            <w:shd w:val="clear" w:color="auto" w:fill="FFFFFF" w:themeFill="background1"/>
            <w:hideMark/>
          </w:tcPr>
          <w:p w14:paraId="343195BA" w14:textId="77777777" w:rsidR="00DF38B5" w:rsidRPr="0062576E" w:rsidRDefault="00DF38B5" w:rsidP="00851341">
            <w:pPr>
              <w:pStyle w:val="TeksIsi"/>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11.875</w:t>
            </w:r>
          </w:p>
        </w:tc>
        <w:tc>
          <w:tcPr>
            <w:tcW w:w="1260" w:type="dxa"/>
            <w:shd w:val="clear" w:color="auto" w:fill="FFFFFF" w:themeFill="background1"/>
            <w:hideMark/>
          </w:tcPr>
          <w:p w14:paraId="6D49D7DC" w14:textId="77777777" w:rsidR="00DF38B5" w:rsidRPr="0062576E" w:rsidRDefault="00DF38B5" w:rsidP="00851341">
            <w:pPr>
              <w:pStyle w:val="TeksIsi"/>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1.050</w:t>
            </w:r>
          </w:p>
        </w:tc>
        <w:tc>
          <w:tcPr>
            <w:tcW w:w="900" w:type="dxa"/>
            <w:shd w:val="clear" w:color="auto" w:fill="FFFFFF" w:themeFill="background1"/>
            <w:hideMark/>
          </w:tcPr>
          <w:p w14:paraId="44EB0437" w14:textId="77777777" w:rsidR="00DF38B5" w:rsidRPr="0062576E" w:rsidRDefault="00DF38B5" w:rsidP="00851341">
            <w:pPr>
              <w:pStyle w:val="TeksIsi"/>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2.841</w:t>
            </w:r>
          </w:p>
        </w:tc>
        <w:tc>
          <w:tcPr>
            <w:tcW w:w="1260" w:type="dxa"/>
            <w:shd w:val="clear" w:color="auto" w:fill="FFFFFF" w:themeFill="background1"/>
            <w:hideMark/>
          </w:tcPr>
          <w:p w14:paraId="070D7E09" w14:textId="77777777" w:rsidR="00DF38B5" w:rsidRPr="0062576E" w:rsidRDefault="00DF38B5" w:rsidP="00851341">
            <w:pPr>
              <w:pStyle w:val="TeksIsi"/>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0.005</w:t>
            </w:r>
          </w:p>
        </w:tc>
        <w:tc>
          <w:tcPr>
            <w:tcW w:w="1530" w:type="dxa"/>
            <w:shd w:val="clear" w:color="auto" w:fill="FFFFFF" w:themeFill="background1"/>
            <w:hideMark/>
          </w:tcPr>
          <w:p w14:paraId="2BA8E0C2" w14:textId="77777777" w:rsidR="00DF38B5" w:rsidRPr="0062576E" w:rsidRDefault="00DF38B5" w:rsidP="00851341">
            <w:pPr>
              <w:pStyle w:val="TeksIsi"/>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Significant difference</w:t>
            </w:r>
          </w:p>
        </w:tc>
      </w:tr>
      <w:tr w:rsidR="00DF38B5" w:rsidRPr="0062576E" w14:paraId="12B200D8" w14:textId="77777777" w:rsidTr="00C53137">
        <w:tc>
          <w:tcPr>
            <w:cnfStyle w:val="001000000000" w:firstRow="0" w:lastRow="0" w:firstColumn="1" w:lastColumn="0" w:oddVBand="0" w:evenVBand="0" w:oddHBand="0" w:evenHBand="0" w:firstRowFirstColumn="0" w:firstRowLastColumn="0" w:lastRowFirstColumn="0" w:lastRowLastColumn="0"/>
            <w:tcW w:w="0" w:type="auto"/>
            <w:hideMark/>
          </w:tcPr>
          <w:p w14:paraId="45E96165" w14:textId="77777777" w:rsidR="00DF38B5" w:rsidRPr="0062576E" w:rsidRDefault="00DF38B5" w:rsidP="00851341">
            <w:pPr>
              <w:pStyle w:val="TeksIsi"/>
              <w:widowControl w:val="0"/>
              <w:autoSpaceDE w:val="0"/>
              <w:autoSpaceDN w:val="0"/>
              <w:rPr>
                <w:rFonts w:ascii="Book Antiqua" w:hAnsi="Book Antiqua"/>
                <w:sz w:val="18"/>
                <w:szCs w:val="18"/>
                <w:lang w:val="en-US"/>
              </w:rPr>
            </w:pPr>
            <w:r w:rsidRPr="0062576E">
              <w:rPr>
                <w:rFonts w:ascii="Book Antiqua" w:hAnsi="Book Antiqua"/>
                <w:sz w:val="18"/>
                <w:szCs w:val="18"/>
                <w:lang w:val="en-US"/>
              </w:rPr>
              <w:t>Brand Loyalty</w:t>
            </w:r>
          </w:p>
        </w:tc>
        <w:tc>
          <w:tcPr>
            <w:tcW w:w="894" w:type="dxa"/>
            <w:hideMark/>
          </w:tcPr>
          <w:p w14:paraId="254A2740" w14:textId="77777777" w:rsidR="00DF38B5" w:rsidRPr="0062576E" w:rsidRDefault="00DF38B5" w:rsidP="00851341">
            <w:pPr>
              <w:pStyle w:val="TeksIsi"/>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12.500</w:t>
            </w:r>
          </w:p>
        </w:tc>
        <w:tc>
          <w:tcPr>
            <w:tcW w:w="1350" w:type="dxa"/>
            <w:hideMark/>
          </w:tcPr>
          <w:p w14:paraId="28D087A3" w14:textId="77777777" w:rsidR="00DF38B5" w:rsidRPr="0062576E" w:rsidRDefault="00DF38B5" w:rsidP="00851341">
            <w:pPr>
              <w:pStyle w:val="TeksIsi"/>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12.400</w:t>
            </w:r>
          </w:p>
        </w:tc>
        <w:tc>
          <w:tcPr>
            <w:tcW w:w="1260" w:type="dxa"/>
            <w:hideMark/>
          </w:tcPr>
          <w:p w14:paraId="62F03355" w14:textId="77777777" w:rsidR="00DF38B5" w:rsidRPr="0062576E" w:rsidRDefault="00DF38B5" w:rsidP="00851341">
            <w:pPr>
              <w:pStyle w:val="TeksIsi"/>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0.600</w:t>
            </w:r>
          </w:p>
        </w:tc>
        <w:tc>
          <w:tcPr>
            <w:tcW w:w="900" w:type="dxa"/>
            <w:hideMark/>
          </w:tcPr>
          <w:p w14:paraId="33EE29C8" w14:textId="77777777" w:rsidR="00DF38B5" w:rsidRPr="0062576E" w:rsidRDefault="00DF38B5" w:rsidP="00851341">
            <w:pPr>
              <w:pStyle w:val="TeksIsi"/>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1.226</w:t>
            </w:r>
          </w:p>
        </w:tc>
        <w:tc>
          <w:tcPr>
            <w:tcW w:w="1260" w:type="dxa"/>
            <w:hideMark/>
          </w:tcPr>
          <w:p w14:paraId="52C5B8B1" w14:textId="77777777" w:rsidR="00DF38B5" w:rsidRPr="0062576E" w:rsidRDefault="00DF38B5" w:rsidP="00851341">
            <w:pPr>
              <w:pStyle w:val="TeksIsi"/>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0.225</w:t>
            </w:r>
          </w:p>
        </w:tc>
        <w:tc>
          <w:tcPr>
            <w:tcW w:w="1530" w:type="dxa"/>
            <w:hideMark/>
          </w:tcPr>
          <w:p w14:paraId="064B52BE" w14:textId="77777777" w:rsidR="00DF38B5" w:rsidRPr="0062576E" w:rsidRDefault="00DF38B5" w:rsidP="00851341">
            <w:pPr>
              <w:pStyle w:val="TeksIsi"/>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lang w:val="en-US"/>
              </w:rPr>
            </w:pPr>
            <w:r w:rsidRPr="0062576E">
              <w:rPr>
                <w:rFonts w:ascii="Book Antiqua" w:hAnsi="Book Antiqua"/>
                <w:sz w:val="18"/>
                <w:szCs w:val="18"/>
                <w:lang w:val="en-US"/>
              </w:rPr>
              <w:t>No significant difference</w:t>
            </w:r>
          </w:p>
        </w:tc>
      </w:tr>
    </w:tbl>
    <w:p w14:paraId="51D70C53" w14:textId="77777777" w:rsidR="00DF38B5" w:rsidRPr="0062576E" w:rsidRDefault="00DF38B5" w:rsidP="00DF38B5">
      <w:pPr>
        <w:jc w:val="both"/>
        <w:rPr>
          <w:rFonts w:ascii="Book Antiqua" w:hAnsi="Book Antiqua"/>
        </w:rPr>
      </w:pPr>
      <w:r w:rsidRPr="0062576E">
        <w:rPr>
          <w:rFonts w:ascii="Book Antiqua" w:hAnsi="Book Antiqua"/>
        </w:rPr>
        <w:t>Source: Primary Data Processed by the Authors (2026)</w:t>
      </w:r>
    </w:p>
    <w:p w14:paraId="4200AC49" w14:textId="77777777" w:rsidR="00DF38B5" w:rsidRPr="0062576E" w:rsidRDefault="00DF38B5" w:rsidP="00DF38B5">
      <w:pPr>
        <w:spacing w:after="160" w:line="278" w:lineRule="auto"/>
        <w:jc w:val="both"/>
        <w:rPr>
          <w:rFonts w:ascii="Book Antiqua" w:hAnsi="Book Antiqua"/>
        </w:rPr>
      </w:pPr>
      <w:r w:rsidRPr="0062576E">
        <w:rPr>
          <w:rFonts w:ascii="Book Antiqua" w:hAnsi="Book Antiqua"/>
        </w:rPr>
        <w:t xml:space="preserve">Based on the results of the independent sample </w:t>
      </w:r>
      <w:r w:rsidRPr="0062576E">
        <w:rPr>
          <w:rFonts w:ascii="Book Antiqua" w:hAnsi="Book Antiqua"/>
          <w:i/>
          <w:iCs/>
        </w:rPr>
        <w:t>t-test</w:t>
      </w:r>
      <w:r w:rsidRPr="0062576E">
        <w:rPr>
          <w:rFonts w:ascii="Book Antiqua" w:hAnsi="Book Antiqua"/>
        </w:rPr>
        <w:t xml:space="preserve"> presented in Table 1, several dimensions of brand equity show significant differences between AQUA and Le </w:t>
      </w:r>
      <w:proofErr w:type="spellStart"/>
      <w:r w:rsidRPr="0062576E">
        <w:rPr>
          <w:rFonts w:ascii="Book Antiqua" w:hAnsi="Book Antiqua"/>
        </w:rPr>
        <w:t>Minerale</w:t>
      </w:r>
      <w:proofErr w:type="spellEnd"/>
      <w:r w:rsidRPr="0062576E">
        <w:rPr>
          <w:rFonts w:ascii="Book Antiqua" w:hAnsi="Book Antiqua"/>
        </w:rPr>
        <w:t xml:space="preserve">. In the </w:t>
      </w:r>
      <w:r w:rsidRPr="0062576E">
        <w:rPr>
          <w:rFonts w:ascii="Book Antiqua" w:hAnsi="Book Antiqua"/>
          <w:i/>
          <w:iCs/>
        </w:rPr>
        <w:t>brand awareness</w:t>
      </w:r>
      <w:r w:rsidRPr="0062576E">
        <w:rPr>
          <w:rFonts w:ascii="Book Antiqua" w:hAnsi="Book Antiqua"/>
        </w:rPr>
        <w:t xml:space="preserve"> dimension, AQUA recorded a higher mean score (13.885) compared to Le </w:t>
      </w:r>
      <w:proofErr w:type="spellStart"/>
      <w:r w:rsidRPr="0062576E">
        <w:rPr>
          <w:rFonts w:ascii="Book Antiqua" w:hAnsi="Book Antiqua"/>
        </w:rPr>
        <w:t>Minerale</w:t>
      </w:r>
      <w:proofErr w:type="spellEnd"/>
      <w:r w:rsidRPr="0062576E">
        <w:rPr>
          <w:rFonts w:ascii="Book Antiqua" w:hAnsi="Book Antiqua"/>
        </w:rPr>
        <w:t xml:space="preserve"> (12.350). The significance value of 0.011 (&lt; 0.05) indicates a statistically significant difference, suggesting that AQUA has stronger brand awareness among consumers.</w:t>
      </w:r>
    </w:p>
    <w:p w14:paraId="2EDE4815" w14:textId="77777777" w:rsidR="00DF38B5" w:rsidRPr="0062576E" w:rsidRDefault="00DF38B5" w:rsidP="00DF38B5">
      <w:pPr>
        <w:spacing w:after="160" w:line="278" w:lineRule="auto"/>
        <w:jc w:val="both"/>
        <w:rPr>
          <w:rFonts w:ascii="Book Antiqua" w:hAnsi="Book Antiqua"/>
        </w:rPr>
      </w:pPr>
      <w:r w:rsidRPr="0062576E">
        <w:rPr>
          <w:rFonts w:ascii="Book Antiqua" w:hAnsi="Book Antiqua"/>
        </w:rPr>
        <w:t xml:space="preserve">Similarly, in the </w:t>
      </w:r>
      <w:r w:rsidRPr="0062576E">
        <w:rPr>
          <w:rFonts w:ascii="Book Antiqua" w:hAnsi="Book Antiqua"/>
          <w:i/>
          <w:iCs/>
        </w:rPr>
        <w:t>brand association</w:t>
      </w:r>
      <w:r w:rsidRPr="0062576E">
        <w:rPr>
          <w:rFonts w:ascii="Book Antiqua" w:hAnsi="Book Antiqua"/>
        </w:rPr>
        <w:t xml:space="preserve"> dimension, AQUA obtained a mean score of 13.225, which is higher than Le </w:t>
      </w:r>
      <w:proofErr w:type="spellStart"/>
      <w:r w:rsidRPr="0062576E">
        <w:rPr>
          <w:rFonts w:ascii="Book Antiqua" w:hAnsi="Book Antiqua"/>
        </w:rPr>
        <w:t>Minerale’s</w:t>
      </w:r>
      <w:proofErr w:type="spellEnd"/>
      <w:r w:rsidRPr="0062576E">
        <w:rPr>
          <w:rFonts w:ascii="Book Antiqua" w:hAnsi="Book Antiqua"/>
        </w:rPr>
        <w:t xml:space="preserve"> mean score of 12.775. The significance value of 0.002 (&lt; 0.05) confirms a significant difference between the two brands. This finding indicates that consumers associate AQUA more strongly and positively than Le </w:t>
      </w:r>
      <w:proofErr w:type="spellStart"/>
      <w:r w:rsidRPr="0062576E">
        <w:rPr>
          <w:rFonts w:ascii="Book Antiqua" w:hAnsi="Book Antiqua"/>
        </w:rPr>
        <w:t>Minerale</w:t>
      </w:r>
      <w:proofErr w:type="spellEnd"/>
      <w:r w:rsidRPr="0062576E">
        <w:rPr>
          <w:rFonts w:ascii="Book Antiqua" w:hAnsi="Book Antiqua"/>
        </w:rPr>
        <w:t>.</w:t>
      </w:r>
    </w:p>
    <w:p w14:paraId="2080261F" w14:textId="77777777" w:rsidR="00DF38B5" w:rsidRPr="0062576E" w:rsidRDefault="00DF38B5" w:rsidP="00DF38B5">
      <w:pPr>
        <w:spacing w:after="160" w:line="278" w:lineRule="auto"/>
        <w:jc w:val="both"/>
        <w:rPr>
          <w:rFonts w:ascii="Book Antiqua" w:hAnsi="Book Antiqua"/>
        </w:rPr>
      </w:pPr>
      <w:r w:rsidRPr="0062576E">
        <w:rPr>
          <w:rFonts w:ascii="Book Antiqua" w:hAnsi="Book Antiqua"/>
        </w:rPr>
        <w:t xml:space="preserve">For the </w:t>
      </w:r>
      <w:r w:rsidRPr="0062576E">
        <w:rPr>
          <w:rFonts w:ascii="Book Antiqua" w:hAnsi="Book Antiqua"/>
          <w:i/>
          <w:iCs/>
        </w:rPr>
        <w:t>perceived quality</w:t>
      </w:r>
      <w:r w:rsidRPr="0062576E">
        <w:rPr>
          <w:rFonts w:ascii="Book Antiqua" w:hAnsi="Book Antiqua"/>
        </w:rPr>
        <w:t xml:space="preserve"> dimension, AQUA again showed a higher mean score (12.975) than Le </w:t>
      </w:r>
      <w:proofErr w:type="spellStart"/>
      <w:r w:rsidRPr="0062576E">
        <w:rPr>
          <w:rFonts w:ascii="Book Antiqua" w:hAnsi="Book Antiqua"/>
        </w:rPr>
        <w:t>Minerale</w:t>
      </w:r>
      <w:proofErr w:type="spellEnd"/>
      <w:r w:rsidRPr="0062576E">
        <w:rPr>
          <w:rFonts w:ascii="Book Antiqua" w:hAnsi="Book Antiqua"/>
        </w:rPr>
        <w:t xml:space="preserve"> (11.875). With a significance value of 0.005 (&lt; 0.05), the difference is statistically significant, indicating that consumers perceive AQUA as having better overall quality compared to Le </w:t>
      </w:r>
      <w:proofErr w:type="spellStart"/>
      <w:r w:rsidRPr="0062576E">
        <w:rPr>
          <w:rFonts w:ascii="Book Antiqua" w:hAnsi="Book Antiqua"/>
        </w:rPr>
        <w:t>Minerale</w:t>
      </w:r>
      <w:proofErr w:type="spellEnd"/>
      <w:r w:rsidRPr="0062576E">
        <w:rPr>
          <w:rFonts w:ascii="Book Antiqua" w:hAnsi="Book Antiqua"/>
        </w:rPr>
        <w:t>.</w:t>
      </w:r>
    </w:p>
    <w:p w14:paraId="6F433A97" w14:textId="77777777" w:rsidR="00DF38B5" w:rsidRPr="0062576E" w:rsidRDefault="00DF38B5" w:rsidP="00DF38B5">
      <w:pPr>
        <w:spacing w:after="160" w:line="278" w:lineRule="auto"/>
        <w:jc w:val="both"/>
        <w:rPr>
          <w:rFonts w:ascii="Book Antiqua" w:hAnsi="Book Antiqua"/>
        </w:rPr>
      </w:pPr>
      <w:r w:rsidRPr="0062576E">
        <w:rPr>
          <w:rFonts w:ascii="Book Antiqua" w:hAnsi="Book Antiqua"/>
        </w:rPr>
        <w:t xml:space="preserve">In contrast, the </w:t>
      </w:r>
      <w:r w:rsidRPr="0062576E">
        <w:rPr>
          <w:rFonts w:ascii="Book Antiqua" w:hAnsi="Book Antiqua"/>
          <w:i/>
          <w:iCs/>
        </w:rPr>
        <w:t>brand loyalty</w:t>
      </w:r>
      <w:r w:rsidRPr="0062576E">
        <w:rPr>
          <w:rFonts w:ascii="Book Antiqua" w:hAnsi="Book Antiqua"/>
        </w:rPr>
        <w:t xml:space="preserve"> dimension did not show a statistically significant difference. Although AQUA achieved a slightly higher mean score (12.500) than Le </w:t>
      </w:r>
      <w:proofErr w:type="spellStart"/>
      <w:r w:rsidRPr="0062576E">
        <w:rPr>
          <w:rFonts w:ascii="Book Antiqua" w:hAnsi="Book Antiqua"/>
        </w:rPr>
        <w:t>Minerale</w:t>
      </w:r>
      <w:proofErr w:type="spellEnd"/>
      <w:r w:rsidRPr="0062576E">
        <w:rPr>
          <w:rFonts w:ascii="Book Antiqua" w:hAnsi="Book Antiqua"/>
        </w:rPr>
        <w:t xml:space="preserve"> (12.400), the significance value of 0.225 (&gt; 0.05) indicates that consumer loyalty toward both brands is relatively similar.</w:t>
      </w:r>
    </w:p>
    <w:p w14:paraId="012BB011" w14:textId="77777777" w:rsidR="00DF38B5" w:rsidRPr="0062576E" w:rsidRDefault="00DF38B5" w:rsidP="00DF38B5">
      <w:pPr>
        <w:spacing w:after="160" w:line="278" w:lineRule="auto"/>
        <w:jc w:val="both"/>
        <w:rPr>
          <w:rFonts w:ascii="Book Antiqua" w:hAnsi="Book Antiqua"/>
        </w:rPr>
      </w:pPr>
      <w:r w:rsidRPr="0062576E">
        <w:rPr>
          <w:rFonts w:ascii="Book Antiqua" w:hAnsi="Book Antiqua"/>
        </w:rPr>
        <w:t xml:space="preserve">Overall, the findings demonstrate that AQUA significantly outperforms Le </w:t>
      </w:r>
      <w:proofErr w:type="spellStart"/>
      <w:r w:rsidRPr="0062576E">
        <w:rPr>
          <w:rFonts w:ascii="Book Antiqua" w:hAnsi="Book Antiqua"/>
        </w:rPr>
        <w:t>Minerale</w:t>
      </w:r>
      <w:proofErr w:type="spellEnd"/>
      <w:r w:rsidRPr="0062576E">
        <w:rPr>
          <w:rFonts w:ascii="Book Antiqua" w:hAnsi="Book Antiqua"/>
        </w:rPr>
        <w:t xml:space="preserve"> in the dimensions of </w:t>
      </w:r>
      <w:r w:rsidRPr="0062576E">
        <w:rPr>
          <w:rFonts w:ascii="Book Antiqua" w:hAnsi="Book Antiqua"/>
          <w:i/>
          <w:iCs/>
        </w:rPr>
        <w:t>brand awareness</w:t>
      </w:r>
      <w:r w:rsidRPr="0062576E">
        <w:rPr>
          <w:rFonts w:ascii="Book Antiqua" w:hAnsi="Book Antiqua"/>
        </w:rPr>
        <w:t xml:space="preserve">, </w:t>
      </w:r>
      <w:r w:rsidRPr="0062576E">
        <w:rPr>
          <w:rFonts w:ascii="Book Antiqua" w:hAnsi="Book Antiqua"/>
          <w:i/>
          <w:iCs/>
        </w:rPr>
        <w:t>brand association</w:t>
      </w:r>
      <w:r w:rsidRPr="0062576E">
        <w:rPr>
          <w:rFonts w:ascii="Book Antiqua" w:hAnsi="Book Antiqua"/>
        </w:rPr>
        <w:t xml:space="preserve">, and </w:t>
      </w:r>
      <w:r w:rsidRPr="0062576E">
        <w:rPr>
          <w:rFonts w:ascii="Book Antiqua" w:hAnsi="Book Antiqua"/>
          <w:i/>
          <w:iCs/>
        </w:rPr>
        <w:t>perceived quality</w:t>
      </w:r>
      <w:r w:rsidRPr="0062576E">
        <w:rPr>
          <w:rFonts w:ascii="Book Antiqua" w:hAnsi="Book Antiqua"/>
        </w:rPr>
        <w:t xml:space="preserve">. However, no significant difference was identified in the </w:t>
      </w:r>
      <w:r w:rsidRPr="0062576E">
        <w:rPr>
          <w:rFonts w:ascii="Book Antiqua" w:hAnsi="Book Antiqua"/>
          <w:i/>
          <w:iCs/>
        </w:rPr>
        <w:t>brand loyalty</w:t>
      </w:r>
      <w:r w:rsidRPr="0062576E">
        <w:rPr>
          <w:rFonts w:ascii="Book Antiqua" w:hAnsi="Book Antiqua"/>
        </w:rPr>
        <w:t xml:space="preserve"> dimension between the two brands.</w:t>
      </w:r>
    </w:p>
    <w:p w14:paraId="040E1D5F"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The hypothesis testing results indicated that:</w:t>
      </w:r>
    </w:p>
    <w:p w14:paraId="2C898AE6" w14:textId="77777777" w:rsidR="00DF38B5" w:rsidRPr="0062576E" w:rsidRDefault="00DF38B5" w:rsidP="00D8636B">
      <w:pPr>
        <w:numPr>
          <w:ilvl w:val="0"/>
          <w:numId w:val="4"/>
        </w:numPr>
        <w:spacing w:after="160" w:line="278" w:lineRule="auto"/>
        <w:jc w:val="both"/>
        <w:rPr>
          <w:rFonts w:ascii="Book Antiqua" w:hAnsi="Book Antiqua"/>
          <w:sz w:val="24"/>
          <w:szCs w:val="24"/>
        </w:rPr>
      </w:pPr>
      <w:r w:rsidRPr="0062576E">
        <w:rPr>
          <w:rFonts w:ascii="Book Antiqua" w:hAnsi="Book Antiqua"/>
          <w:sz w:val="24"/>
          <w:szCs w:val="24"/>
        </w:rPr>
        <w:t xml:space="preserve">H1 was accepted, meaning there is a significant difference in brand awareness between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w:t>
      </w:r>
    </w:p>
    <w:p w14:paraId="33A2602C" w14:textId="77777777" w:rsidR="00DF38B5" w:rsidRPr="0062576E" w:rsidRDefault="00DF38B5" w:rsidP="00D8636B">
      <w:pPr>
        <w:numPr>
          <w:ilvl w:val="0"/>
          <w:numId w:val="4"/>
        </w:numPr>
        <w:spacing w:after="160" w:line="278" w:lineRule="auto"/>
        <w:jc w:val="both"/>
        <w:rPr>
          <w:rFonts w:ascii="Book Antiqua" w:hAnsi="Book Antiqua"/>
          <w:sz w:val="24"/>
          <w:szCs w:val="24"/>
        </w:rPr>
      </w:pPr>
      <w:r w:rsidRPr="0062576E">
        <w:rPr>
          <w:rFonts w:ascii="Book Antiqua" w:hAnsi="Book Antiqua"/>
          <w:sz w:val="24"/>
          <w:szCs w:val="24"/>
        </w:rPr>
        <w:t xml:space="preserve">H2 was accepted, meaning there is a significant difference in brand association between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w:t>
      </w:r>
    </w:p>
    <w:p w14:paraId="77503E87" w14:textId="77777777" w:rsidR="00DF38B5" w:rsidRPr="0062576E" w:rsidRDefault="00DF38B5" w:rsidP="00D8636B">
      <w:pPr>
        <w:numPr>
          <w:ilvl w:val="0"/>
          <w:numId w:val="4"/>
        </w:numPr>
        <w:spacing w:after="160" w:line="278" w:lineRule="auto"/>
        <w:jc w:val="both"/>
        <w:rPr>
          <w:rFonts w:ascii="Book Antiqua" w:hAnsi="Book Antiqua"/>
          <w:sz w:val="24"/>
          <w:szCs w:val="24"/>
        </w:rPr>
      </w:pPr>
      <w:r w:rsidRPr="0062576E">
        <w:rPr>
          <w:rFonts w:ascii="Book Antiqua" w:hAnsi="Book Antiqua"/>
          <w:sz w:val="24"/>
          <w:szCs w:val="24"/>
        </w:rPr>
        <w:lastRenderedPageBreak/>
        <w:t xml:space="preserve">H3 was accepted, meaning there is a significant difference in perceived quality between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w:t>
      </w:r>
    </w:p>
    <w:p w14:paraId="5C7BAEA0" w14:textId="77777777" w:rsidR="00DF38B5" w:rsidRPr="0062576E" w:rsidRDefault="00DF38B5" w:rsidP="00D8636B">
      <w:pPr>
        <w:numPr>
          <w:ilvl w:val="0"/>
          <w:numId w:val="4"/>
        </w:numPr>
        <w:spacing w:after="160" w:line="278" w:lineRule="auto"/>
        <w:jc w:val="both"/>
        <w:rPr>
          <w:rFonts w:ascii="Book Antiqua" w:hAnsi="Book Antiqua"/>
          <w:sz w:val="24"/>
          <w:szCs w:val="24"/>
        </w:rPr>
      </w:pPr>
      <w:r w:rsidRPr="0062576E">
        <w:rPr>
          <w:rFonts w:ascii="Book Antiqua" w:hAnsi="Book Antiqua"/>
          <w:sz w:val="24"/>
          <w:szCs w:val="24"/>
        </w:rPr>
        <w:t xml:space="preserve">H4 was rejected, meaning there is no significant difference in brand loyalty between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w:t>
      </w:r>
    </w:p>
    <w:p w14:paraId="0FE70FD0"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 xml:space="preserve">These findings reinforce Aaker’s theory stating that brand equity consists of several interconnected dimensions influencing brand strength in the market [6]. AQUA excels in awareness and perceived quality because it has a long history as the pioneer of bottled mineral water in Indonesia [9]. Meanwhile,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has successfully built consumer loyalty through aggressive marketing strategies and extensive product distribution [11].</w:t>
      </w:r>
    </w:p>
    <w:p w14:paraId="2E565051"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This study also demonstrates that consumer loyalty toward homogeneous products such as bottled mineral water is not always determined solely by dominant brand awareness. Consumers may remain loyal to alternative brands as long as the products are easily accessible and capable of fulfilling daily functional needs [30].</w:t>
      </w:r>
    </w:p>
    <w:p w14:paraId="4053FE48" w14:textId="77777777" w:rsidR="00DF38B5" w:rsidRPr="0062576E" w:rsidRDefault="00DF38B5" w:rsidP="00DF38B5">
      <w:pPr>
        <w:spacing w:after="160" w:line="278" w:lineRule="auto"/>
        <w:jc w:val="both"/>
        <w:rPr>
          <w:rFonts w:ascii="Book Antiqua" w:hAnsi="Book Antiqua"/>
          <w:sz w:val="24"/>
          <w:szCs w:val="24"/>
        </w:rPr>
      </w:pPr>
    </w:p>
    <w:p w14:paraId="714ED53D" w14:textId="77777777" w:rsidR="00DF38B5" w:rsidRPr="0062576E" w:rsidRDefault="00DF38B5" w:rsidP="00DF38B5">
      <w:pPr>
        <w:spacing w:after="160" w:line="278" w:lineRule="auto"/>
        <w:jc w:val="both"/>
        <w:rPr>
          <w:rFonts w:ascii="Book Antiqua" w:hAnsi="Book Antiqua"/>
          <w:b/>
          <w:bCs/>
          <w:sz w:val="24"/>
          <w:szCs w:val="24"/>
        </w:rPr>
      </w:pPr>
      <w:r w:rsidRPr="0062576E">
        <w:rPr>
          <w:rFonts w:ascii="Book Antiqua" w:hAnsi="Book Antiqua"/>
          <w:b/>
          <w:bCs/>
          <w:sz w:val="24"/>
          <w:szCs w:val="24"/>
        </w:rPr>
        <w:t>CONCLUSION</w:t>
      </w:r>
    </w:p>
    <w:p w14:paraId="4D9BF573" w14:textId="22540D01"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 xml:space="preserve">This study concludes that significant differences exist in the dimensions of brand awareness, brand association, and perceived quality between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 AQUA demonstrates superior performance in these three dimensions due to its strong market position as the pioneer of bottled mineral water products in Indonesia.</w:t>
      </w:r>
      <w:r w:rsidR="00D8636B">
        <w:rPr>
          <w:rFonts w:ascii="Book Antiqua" w:hAnsi="Book Antiqua"/>
          <w:sz w:val="24"/>
          <w:szCs w:val="24"/>
        </w:rPr>
        <w:t xml:space="preserve"> </w:t>
      </w:r>
      <w:r w:rsidRPr="0062576E">
        <w:rPr>
          <w:rFonts w:ascii="Book Antiqua" w:hAnsi="Book Antiqua"/>
          <w:sz w:val="24"/>
          <w:szCs w:val="24"/>
        </w:rPr>
        <w:t xml:space="preserve">However, no significant difference was found in the brand loyalty dimension between the two brands. This finding indicates that both AQUA and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have successfully established relatively similar levels of consumer loyalty among students at Universitas </w:t>
      </w:r>
      <w:proofErr w:type="spellStart"/>
      <w:r w:rsidRPr="0062576E">
        <w:rPr>
          <w:rFonts w:ascii="Book Antiqua" w:hAnsi="Book Antiqua"/>
          <w:sz w:val="24"/>
          <w:szCs w:val="24"/>
        </w:rPr>
        <w:t>Halu</w:t>
      </w:r>
      <w:proofErr w:type="spellEnd"/>
      <w:r w:rsidRPr="0062576E">
        <w:rPr>
          <w:rFonts w:ascii="Book Antiqua" w:hAnsi="Book Antiqua"/>
          <w:sz w:val="24"/>
          <w:szCs w:val="24"/>
        </w:rPr>
        <w:t xml:space="preserve"> Oleo.</w:t>
      </w:r>
    </w:p>
    <w:p w14:paraId="73241D5B" w14:textId="77777777" w:rsidR="00DF38B5" w:rsidRPr="0062576E" w:rsidRDefault="00DF38B5" w:rsidP="00DF38B5">
      <w:pPr>
        <w:spacing w:after="160" w:line="278" w:lineRule="auto"/>
        <w:jc w:val="both"/>
        <w:rPr>
          <w:rFonts w:ascii="Book Antiqua" w:hAnsi="Book Antiqua"/>
          <w:sz w:val="24"/>
          <w:szCs w:val="24"/>
        </w:rPr>
      </w:pPr>
      <w:r w:rsidRPr="0062576E">
        <w:rPr>
          <w:rFonts w:ascii="Book Antiqua" w:hAnsi="Book Antiqua"/>
          <w:sz w:val="24"/>
          <w:szCs w:val="24"/>
        </w:rPr>
        <w:t>The findings imply that companies need to continuously strengthen branding strategies and maintain product quality in order to sustain brand equity amid increasingly competitive conditions in the bottled mineral water industry.</w:t>
      </w:r>
    </w:p>
    <w:p w14:paraId="4B87316E" w14:textId="77777777" w:rsidR="00DF38B5" w:rsidRPr="0062576E" w:rsidRDefault="00DF38B5" w:rsidP="00DF38B5">
      <w:pPr>
        <w:spacing w:after="160" w:line="278" w:lineRule="auto"/>
        <w:jc w:val="both"/>
        <w:rPr>
          <w:rFonts w:ascii="Book Antiqua" w:hAnsi="Book Antiqua"/>
          <w:sz w:val="24"/>
          <w:szCs w:val="24"/>
        </w:rPr>
      </w:pPr>
    </w:p>
    <w:p w14:paraId="1C802F17" w14:textId="77777777" w:rsidR="00DF38B5" w:rsidRPr="0062576E" w:rsidRDefault="00DF38B5" w:rsidP="00DF38B5">
      <w:pPr>
        <w:spacing w:after="160" w:line="278" w:lineRule="auto"/>
        <w:jc w:val="both"/>
        <w:rPr>
          <w:rFonts w:ascii="Book Antiqua" w:hAnsi="Book Antiqua"/>
          <w:b/>
          <w:bCs/>
          <w:sz w:val="24"/>
          <w:szCs w:val="24"/>
        </w:rPr>
      </w:pPr>
      <w:r w:rsidRPr="0062576E">
        <w:rPr>
          <w:rFonts w:ascii="Book Antiqua" w:hAnsi="Book Antiqua"/>
          <w:b/>
          <w:bCs/>
          <w:sz w:val="24"/>
          <w:szCs w:val="24"/>
        </w:rPr>
        <w:t>SUGGESTION</w:t>
      </w:r>
    </w:p>
    <w:p w14:paraId="7C9B4EEF" w14:textId="77777777" w:rsidR="00DF38B5" w:rsidRPr="0062576E" w:rsidRDefault="00DF38B5" w:rsidP="00DF38B5">
      <w:pPr>
        <w:jc w:val="both"/>
        <w:rPr>
          <w:rFonts w:ascii="Book Antiqua" w:hAnsi="Book Antiqua"/>
          <w:sz w:val="24"/>
          <w:szCs w:val="24"/>
        </w:rPr>
      </w:pPr>
      <w:r w:rsidRPr="0062576E">
        <w:rPr>
          <w:rFonts w:ascii="Book Antiqua" w:hAnsi="Book Antiqua"/>
          <w:sz w:val="24"/>
          <w:szCs w:val="24"/>
        </w:rPr>
        <w:t xml:space="preserve">AQUA is recommended to maintain its brand image as a trusted bottled mineral water brand through consistent product quality and sustainable marketing communication strategies. Le </w:t>
      </w:r>
      <w:proofErr w:type="spellStart"/>
      <w:r w:rsidRPr="0062576E">
        <w:rPr>
          <w:rFonts w:ascii="Book Antiqua" w:hAnsi="Book Antiqua"/>
          <w:sz w:val="24"/>
          <w:szCs w:val="24"/>
        </w:rPr>
        <w:t>Minerale</w:t>
      </w:r>
      <w:proofErr w:type="spellEnd"/>
      <w:r w:rsidRPr="0062576E">
        <w:rPr>
          <w:rFonts w:ascii="Book Antiqua" w:hAnsi="Book Antiqua"/>
          <w:sz w:val="24"/>
          <w:szCs w:val="24"/>
        </w:rPr>
        <w:t xml:space="preserve"> is encouraged to further strengthen brand differentiation through product innovation, packaging development, and marketing communication emphasizing product superiority and water purity.</w:t>
      </w:r>
      <w:r w:rsidRPr="0062576E">
        <w:rPr>
          <w:rFonts w:ascii="Book Antiqua" w:hAnsi="Book Antiqua"/>
        </w:rPr>
        <w:t xml:space="preserve"> </w:t>
      </w:r>
      <w:r w:rsidRPr="0062576E">
        <w:rPr>
          <w:rFonts w:ascii="Book Antiqua" w:hAnsi="Book Antiqua"/>
          <w:sz w:val="24"/>
          <w:szCs w:val="24"/>
        </w:rPr>
        <w:t xml:space="preserve">Future studies are expected to </w:t>
      </w:r>
      <w:r w:rsidRPr="0062576E">
        <w:rPr>
          <w:rFonts w:ascii="Book Antiqua" w:hAnsi="Book Antiqua"/>
          <w:sz w:val="24"/>
          <w:szCs w:val="24"/>
        </w:rPr>
        <w:lastRenderedPageBreak/>
        <w:t>include additional variables such as price perception, green marketing, or environmental concern to enrich studies related to bottled mineral water brand equity.</w:t>
      </w:r>
    </w:p>
    <w:p w14:paraId="6D300EE6" w14:textId="77777777" w:rsidR="00DF38B5" w:rsidRPr="0062576E" w:rsidRDefault="00DF38B5" w:rsidP="00DF38B5">
      <w:pPr>
        <w:spacing w:after="160" w:line="278" w:lineRule="auto"/>
        <w:jc w:val="both"/>
        <w:rPr>
          <w:rFonts w:ascii="Book Antiqua" w:hAnsi="Book Antiqua"/>
          <w:b/>
          <w:bCs/>
          <w:sz w:val="24"/>
          <w:szCs w:val="24"/>
        </w:rPr>
      </w:pPr>
      <w:r w:rsidRPr="0062576E">
        <w:rPr>
          <w:rFonts w:ascii="Book Antiqua" w:hAnsi="Book Antiqua"/>
          <w:b/>
          <w:bCs/>
          <w:sz w:val="24"/>
          <w:szCs w:val="24"/>
        </w:rPr>
        <w:t>REFERENCES</w:t>
      </w:r>
    </w:p>
    <w:p w14:paraId="67B872EE"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Kotler P, Keller KL. Marketing Management. 15th ed. Pearson Education; 2016. </w:t>
      </w:r>
    </w:p>
    <w:p w14:paraId="2A1E0B86"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Schiffman LG, </w:t>
      </w:r>
      <w:proofErr w:type="spellStart"/>
      <w:r w:rsidRPr="0062576E">
        <w:rPr>
          <w:rFonts w:ascii="Book Antiqua" w:hAnsi="Book Antiqua"/>
          <w:sz w:val="24"/>
          <w:szCs w:val="24"/>
        </w:rPr>
        <w:t>Wisenblit</w:t>
      </w:r>
      <w:proofErr w:type="spellEnd"/>
      <w:r w:rsidRPr="0062576E">
        <w:rPr>
          <w:rFonts w:ascii="Book Antiqua" w:hAnsi="Book Antiqua"/>
          <w:sz w:val="24"/>
          <w:szCs w:val="24"/>
        </w:rPr>
        <w:t xml:space="preserve"> J. Consumer Behavior. 12th ed. Pearson; 2019. </w:t>
      </w:r>
    </w:p>
    <w:p w14:paraId="5DACDF35"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proofErr w:type="spellStart"/>
      <w:r w:rsidRPr="0062576E">
        <w:rPr>
          <w:rFonts w:ascii="Book Antiqua" w:hAnsi="Book Antiqua"/>
          <w:sz w:val="24"/>
          <w:szCs w:val="24"/>
        </w:rPr>
        <w:t>Tjiptono</w:t>
      </w:r>
      <w:proofErr w:type="spellEnd"/>
      <w:r w:rsidRPr="0062576E">
        <w:rPr>
          <w:rFonts w:ascii="Book Antiqua" w:hAnsi="Book Antiqua"/>
          <w:sz w:val="24"/>
          <w:szCs w:val="24"/>
        </w:rPr>
        <w:t xml:space="preserve"> F. Strategi </w:t>
      </w:r>
      <w:proofErr w:type="spellStart"/>
      <w:r w:rsidRPr="0062576E">
        <w:rPr>
          <w:rFonts w:ascii="Book Antiqua" w:hAnsi="Book Antiqua"/>
          <w:sz w:val="24"/>
          <w:szCs w:val="24"/>
        </w:rPr>
        <w:t>Pemasaran</w:t>
      </w:r>
      <w:proofErr w:type="spellEnd"/>
      <w:r w:rsidRPr="0062576E">
        <w:rPr>
          <w:rFonts w:ascii="Book Antiqua" w:hAnsi="Book Antiqua"/>
          <w:sz w:val="24"/>
          <w:szCs w:val="24"/>
        </w:rPr>
        <w:t xml:space="preserve">. Yogyakarta: Andi; 2019. </w:t>
      </w:r>
    </w:p>
    <w:p w14:paraId="4BFBD1B0"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Keller KL. Strategic Brand Management. 4th ed. Pearson; 2013. </w:t>
      </w:r>
    </w:p>
    <w:p w14:paraId="16A83A30"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Aaker DA. Managing Brand Equity. New York: Free Press; 1991. </w:t>
      </w:r>
    </w:p>
    <w:p w14:paraId="4ECCF078"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Kotler P, Keller KL. Principles of Marketing. 17th ed. Pearson; 2018. </w:t>
      </w:r>
    </w:p>
    <w:p w14:paraId="27320BCE"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proofErr w:type="spellStart"/>
      <w:r w:rsidRPr="0062576E">
        <w:rPr>
          <w:rFonts w:ascii="Book Antiqua" w:hAnsi="Book Antiqua"/>
          <w:sz w:val="24"/>
          <w:szCs w:val="24"/>
        </w:rPr>
        <w:t>Yoo</w:t>
      </w:r>
      <w:proofErr w:type="spellEnd"/>
      <w:r w:rsidRPr="0062576E">
        <w:rPr>
          <w:rFonts w:ascii="Book Antiqua" w:hAnsi="Book Antiqua"/>
          <w:sz w:val="24"/>
          <w:szCs w:val="24"/>
        </w:rPr>
        <w:t xml:space="preserve"> B, </w:t>
      </w:r>
      <w:proofErr w:type="spellStart"/>
      <w:r w:rsidRPr="0062576E">
        <w:rPr>
          <w:rFonts w:ascii="Book Antiqua" w:hAnsi="Book Antiqua"/>
          <w:sz w:val="24"/>
          <w:szCs w:val="24"/>
        </w:rPr>
        <w:t>Donthu</w:t>
      </w:r>
      <w:proofErr w:type="spellEnd"/>
      <w:r w:rsidRPr="0062576E">
        <w:rPr>
          <w:rFonts w:ascii="Book Antiqua" w:hAnsi="Book Antiqua"/>
          <w:sz w:val="24"/>
          <w:szCs w:val="24"/>
        </w:rPr>
        <w:t xml:space="preserve"> N. Developing and validating a multidimensional consumer-based brand equity scale. J Bus Res. 2001;52(1):1–14. </w:t>
      </w:r>
    </w:p>
    <w:p w14:paraId="45FB9A01"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Top Brand Award Indonesia. Top Brand Index Fase 1. 2025. </w:t>
      </w:r>
    </w:p>
    <w:p w14:paraId="604FECBB"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proofErr w:type="spellStart"/>
      <w:r w:rsidRPr="0062576E">
        <w:rPr>
          <w:rFonts w:ascii="Book Antiqua" w:hAnsi="Book Antiqua"/>
          <w:sz w:val="24"/>
          <w:szCs w:val="24"/>
        </w:rPr>
        <w:t>Rangkuti</w:t>
      </w:r>
      <w:proofErr w:type="spellEnd"/>
      <w:r w:rsidRPr="0062576E">
        <w:rPr>
          <w:rFonts w:ascii="Book Antiqua" w:hAnsi="Book Antiqua"/>
          <w:sz w:val="24"/>
          <w:szCs w:val="24"/>
        </w:rPr>
        <w:t xml:space="preserve"> F. The Power of Brands. Jakarta: Gramedia; 2018. </w:t>
      </w:r>
    </w:p>
    <w:p w14:paraId="7539B000"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Hasan A. Marketing dan Kasus-Kasus Pilihan. Yogyakarta: CAPS; 2017. </w:t>
      </w:r>
    </w:p>
    <w:p w14:paraId="4121E9AF"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Firmansyah MA. </w:t>
      </w:r>
      <w:proofErr w:type="spellStart"/>
      <w:r w:rsidRPr="0062576E">
        <w:rPr>
          <w:rFonts w:ascii="Book Antiqua" w:hAnsi="Book Antiqua"/>
          <w:sz w:val="24"/>
          <w:szCs w:val="24"/>
        </w:rPr>
        <w:t>Perilaku</w:t>
      </w:r>
      <w:proofErr w:type="spellEnd"/>
      <w:r w:rsidRPr="0062576E">
        <w:rPr>
          <w:rFonts w:ascii="Book Antiqua" w:hAnsi="Book Antiqua"/>
          <w:sz w:val="24"/>
          <w:szCs w:val="24"/>
        </w:rPr>
        <w:t xml:space="preserve"> </w:t>
      </w:r>
      <w:proofErr w:type="spellStart"/>
      <w:r w:rsidRPr="0062576E">
        <w:rPr>
          <w:rFonts w:ascii="Book Antiqua" w:hAnsi="Book Antiqua"/>
          <w:sz w:val="24"/>
          <w:szCs w:val="24"/>
        </w:rPr>
        <w:t>Konsumen</w:t>
      </w:r>
      <w:proofErr w:type="spellEnd"/>
      <w:r w:rsidRPr="0062576E">
        <w:rPr>
          <w:rFonts w:ascii="Book Antiqua" w:hAnsi="Book Antiqua"/>
          <w:sz w:val="24"/>
          <w:szCs w:val="24"/>
        </w:rPr>
        <w:t xml:space="preserve">. Yogyakarta: </w:t>
      </w:r>
      <w:proofErr w:type="spellStart"/>
      <w:r w:rsidRPr="0062576E">
        <w:rPr>
          <w:rFonts w:ascii="Book Antiqua" w:hAnsi="Book Antiqua"/>
          <w:sz w:val="24"/>
          <w:szCs w:val="24"/>
        </w:rPr>
        <w:t>Deepublish</w:t>
      </w:r>
      <w:proofErr w:type="spellEnd"/>
      <w:r w:rsidRPr="0062576E">
        <w:rPr>
          <w:rFonts w:ascii="Book Antiqua" w:hAnsi="Book Antiqua"/>
          <w:sz w:val="24"/>
          <w:szCs w:val="24"/>
        </w:rPr>
        <w:t xml:space="preserve">; 2019. </w:t>
      </w:r>
    </w:p>
    <w:p w14:paraId="4D0EB7D0"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Alma B. </w:t>
      </w:r>
      <w:proofErr w:type="spellStart"/>
      <w:r w:rsidRPr="0062576E">
        <w:rPr>
          <w:rFonts w:ascii="Book Antiqua" w:hAnsi="Book Antiqua"/>
          <w:sz w:val="24"/>
          <w:szCs w:val="24"/>
        </w:rPr>
        <w:t>Manajemen</w:t>
      </w:r>
      <w:proofErr w:type="spellEnd"/>
      <w:r w:rsidRPr="0062576E">
        <w:rPr>
          <w:rFonts w:ascii="Book Antiqua" w:hAnsi="Book Antiqua"/>
          <w:sz w:val="24"/>
          <w:szCs w:val="24"/>
        </w:rPr>
        <w:t xml:space="preserve"> </w:t>
      </w:r>
      <w:proofErr w:type="spellStart"/>
      <w:r w:rsidRPr="0062576E">
        <w:rPr>
          <w:rFonts w:ascii="Book Antiqua" w:hAnsi="Book Antiqua"/>
          <w:sz w:val="24"/>
          <w:szCs w:val="24"/>
        </w:rPr>
        <w:t>Pemasaran</w:t>
      </w:r>
      <w:proofErr w:type="spellEnd"/>
      <w:r w:rsidRPr="0062576E">
        <w:rPr>
          <w:rFonts w:ascii="Book Antiqua" w:hAnsi="Book Antiqua"/>
          <w:sz w:val="24"/>
          <w:szCs w:val="24"/>
        </w:rPr>
        <w:t xml:space="preserve"> dan </w:t>
      </w:r>
      <w:proofErr w:type="spellStart"/>
      <w:r w:rsidRPr="0062576E">
        <w:rPr>
          <w:rFonts w:ascii="Book Antiqua" w:hAnsi="Book Antiqua"/>
          <w:sz w:val="24"/>
          <w:szCs w:val="24"/>
        </w:rPr>
        <w:t>Pemasaran</w:t>
      </w:r>
      <w:proofErr w:type="spellEnd"/>
      <w:r w:rsidRPr="0062576E">
        <w:rPr>
          <w:rFonts w:ascii="Book Antiqua" w:hAnsi="Book Antiqua"/>
          <w:sz w:val="24"/>
          <w:szCs w:val="24"/>
        </w:rPr>
        <w:t xml:space="preserve"> Jasa. Bandung: </w:t>
      </w:r>
      <w:proofErr w:type="spellStart"/>
      <w:r w:rsidRPr="0062576E">
        <w:rPr>
          <w:rFonts w:ascii="Book Antiqua" w:hAnsi="Book Antiqua"/>
          <w:sz w:val="24"/>
          <w:szCs w:val="24"/>
        </w:rPr>
        <w:t>Alfabeta</w:t>
      </w:r>
      <w:proofErr w:type="spellEnd"/>
      <w:r w:rsidRPr="0062576E">
        <w:rPr>
          <w:rFonts w:ascii="Book Antiqua" w:hAnsi="Book Antiqua"/>
          <w:sz w:val="24"/>
          <w:szCs w:val="24"/>
        </w:rPr>
        <w:t xml:space="preserve">; 2018. </w:t>
      </w:r>
    </w:p>
    <w:p w14:paraId="48AE8D37"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proofErr w:type="spellStart"/>
      <w:r w:rsidRPr="0062576E">
        <w:rPr>
          <w:rFonts w:ascii="Book Antiqua" w:hAnsi="Book Antiqua"/>
          <w:sz w:val="24"/>
          <w:szCs w:val="24"/>
        </w:rPr>
        <w:t>Sumarwan</w:t>
      </w:r>
      <w:proofErr w:type="spellEnd"/>
      <w:r w:rsidRPr="0062576E">
        <w:rPr>
          <w:rFonts w:ascii="Book Antiqua" w:hAnsi="Book Antiqua"/>
          <w:sz w:val="24"/>
          <w:szCs w:val="24"/>
        </w:rPr>
        <w:t xml:space="preserve"> U. </w:t>
      </w:r>
      <w:proofErr w:type="spellStart"/>
      <w:r w:rsidRPr="0062576E">
        <w:rPr>
          <w:rFonts w:ascii="Book Antiqua" w:hAnsi="Book Antiqua"/>
          <w:sz w:val="24"/>
          <w:szCs w:val="24"/>
        </w:rPr>
        <w:t>Perilaku</w:t>
      </w:r>
      <w:proofErr w:type="spellEnd"/>
      <w:r w:rsidRPr="0062576E">
        <w:rPr>
          <w:rFonts w:ascii="Book Antiqua" w:hAnsi="Book Antiqua"/>
          <w:sz w:val="24"/>
          <w:szCs w:val="24"/>
        </w:rPr>
        <w:t xml:space="preserve"> </w:t>
      </w:r>
      <w:proofErr w:type="spellStart"/>
      <w:r w:rsidRPr="0062576E">
        <w:rPr>
          <w:rFonts w:ascii="Book Antiqua" w:hAnsi="Book Antiqua"/>
          <w:sz w:val="24"/>
          <w:szCs w:val="24"/>
        </w:rPr>
        <w:t>Konsumen</w:t>
      </w:r>
      <w:proofErr w:type="spellEnd"/>
      <w:r w:rsidRPr="0062576E">
        <w:rPr>
          <w:rFonts w:ascii="Book Antiqua" w:hAnsi="Book Antiqua"/>
          <w:sz w:val="24"/>
          <w:szCs w:val="24"/>
        </w:rPr>
        <w:t xml:space="preserve">. Bogor: Ghalia Indonesia; 2017. </w:t>
      </w:r>
    </w:p>
    <w:p w14:paraId="6B6C4AF9"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Kotler P, Armstrong G. Principles of Marketing. 18th ed. Pearson; 2020. </w:t>
      </w:r>
    </w:p>
    <w:p w14:paraId="3485240D"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proofErr w:type="spellStart"/>
      <w:r w:rsidRPr="0062576E">
        <w:rPr>
          <w:rFonts w:ascii="Book Antiqua" w:hAnsi="Book Antiqua"/>
          <w:sz w:val="24"/>
          <w:szCs w:val="24"/>
        </w:rPr>
        <w:t>Saputri</w:t>
      </w:r>
      <w:proofErr w:type="spellEnd"/>
      <w:r w:rsidRPr="0062576E">
        <w:rPr>
          <w:rFonts w:ascii="Book Antiqua" w:hAnsi="Book Antiqua"/>
          <w:sz w:val="24"/>
          <w:szCs w:val="24"/>
        </w:rPr>
        <w:t xml:space="preserve"> ME, </w:t>
      </w:r>
      <w:proofErr w:type="spellStart"/>
      <w:r w:rsidRPr="0062576E">
        <w:rPr>
          <w:rFonts w:ascii="Book Antiqua" w:hAnsi="Book Antiqua"/>
          <w:sz w:val="24"/>
          <w:szCs w:val="24"/>
        </w:rPr>
        <w:t>Pranata</w:t>
      </w:r>
      <w:proofErr w:type="spellEnd"/>
      <w:r w:rsidRPr="0062576E">
        <w:rPr>
          <w:rFonts w:ascii="Book Antiqua" w:hAnsi="Book Antiqua"/>
          <w:sz w:val="24"/>
          <w:szCs w:val="24"/>
        </w:rPr>
        <w:t xml:space="preserve"> TR. </w:t>
      </w:r>
      <w:proofErr w:type="spellStart"/>
      <w:r w:rsidRPr="0062576E">
        <w:rPr>
          <w:rFonts w:ascii="Book Antiqua" w:hAnsi="Book Antiqua"/>
          <w:sz w:val="24"/>
          <w:szCs w:val="24"/>
        </w:rPr>
        <w:t>Pengaruh</w:t>
      </w:r>
      <w:proofErr w:type="spellEnd"/>
      <w:r w:rsidRPr="0062576E">
        <w:rPr>
          <w:rFonts w:ascii="Book Antiqua" w:hAnsi="Book Antiqua"/>
          <w:sz w:val="24"/>
          <w:szCs w:val="24"/>
        </w:rPr>
        <w:t xml:space="preserve"> Brand Equity </w:t>
      </w:r>
      <w:proofErr w:type="spellStart"/>
      <w:r w:rsidRPr="0062576E">
        <w:rPr>
          <w:rFonts w:ascii="Book Antiqua" w:hAnsi="Book Antiqua"/>
          <w:sz w:val="24"/>
          <w:szCs w:val="24"/>
        </w:rPr>
        <w:t>terhadap</w:t>
      </w:r>
      <w:proofErr w:type="spellEnd"/>
      <w:r w:rsidRPr="0062576E">
        <w:rPr>
          <w:rFonts w:ascii="Book Antiqua" w:hAnsi="Book Antiqua"/>
          <w:sz w:val="24"/>
          <w:szCs w:val="24"/>
        </w:rPr>
        <w:t xml:space="preserve"> Keputusan </w:t>
      </w:r>
      <w:proofErr w:type="spellStart"/>
      <w:r w:rsidRPr="0062576E">
        <w:rPr>
          <w:rFonts w:ascii="Book Antiqua" w:hAnsi="Book Antiqua"/>
          <w:sz w:val="24"/>
          <w:szCs w:val="24"/>
        </w:rPr>
        <w:t>Pembelian</w:t>
      </w:r>
      <w:proofErr w:type="spellEnd"/>
      <w:r w:rsidRPr="0062576E">
        <w:rPr>
          <w:rFonts w:ascii="Book Antiqua" w:hAnsi="Book Antiqua"/>
          <w:sz w:val="24"/>
          <w:szCs w:val="24"/>
        </w:rPr>
        <w:t xml:space="preserve"> </w:t>
      </w:r>
      <w:proofErr w:type="spellStart"/>
      <w:r w:rsidRPr="0062576E">
        <w:rPr>
          <w:rFonts w:ascii="Book Antiqua" w:hAnsi="Book Antiqua"/>
          <w:sz w:val="24"/>
          <w:szCs w:val="24"/>
        </w:rPr>
        <w:t>Produk</w:t>
      </w:r>
      <w:proofErr w:type="spellEnd"/>
      <w:r w:rsidRPr="0062576E">
        <w:rPr>
          <w:rFonts w:ascii="Book Antiqua" w:hAnsi="Book Antiqua"/>
          <w:sz w:val="24"/>
          <w:szCs w:val="24"/>
        </w:rPr>
        <w:t xml:space="preserve"> Air Mineral. J Manaj Bisnis. 2021;8(2):101–110. </w:t>
      </w:r>
    </w:p>
    <w:p w14:paraId="72C4C848"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Keller KL. Building Customer-Based Brand Equity. Mark Manag. 2001;10(2):14–19. </w:t>
      </w:r>
    </w:p>
    <w:p w14:paraId="02446FE4"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proofErr w:type="spellStart"/>
      <w:r w:rsidRPr="0062576E">
        <w:rPr>
          <w:rFonts w:ascii="Book Antiqua" w:hAnsi="Book Antiqua"/>
          <w:sz w:val="24"/>
          <w:szCs w:val="24"/>
        </w:rPr>
        <w:t>Assauri</w:t>
      </w:r>
      <w:proofErr w:type="spellEnd"/>
      <w:r w:rsidRPr="0062576E">
        <w:rPr>
          <w:rFonts w:ascii="Book Antiqua" w:hAnsi="Book Antiqua"/>
          <w:sz w:val="24"/>
          <w:szCs w:val="24"/>
        </w:rPr>
        <w:t xml:space="preserve"> S. </w:t>
      </w:r>
      <w:proofErr w:type="spellStart"/>
      <w:r w:rsidRPr="0062576E">
        <w:rPr>
          <w:rFonts w:ascii="Book Antiqua" w:hAnsi="Book Antiqua"/>
          <w:sz w:val="24"/>
          <w:szCs w:val="24"/>
        </w:rPr>
        <w:t>Manajemen</w:t>
      </w:r>
      <w:proofErr w:type="spellEnd"/>
      <w:r w:rsidRPr="0062576E">
        <w:rPr>
          <w:rFonts w:ascii="Book Antiqua" w:hAnsi="Book Antiqua"/>
          <w:sz w:val="24"/>
          <w:szCs w:val="24"/>
        </w:rPr>
        <w:t xml:space="preserve"> </w:t>
      </w:r>
      <w:proofErr w:type="spellStart"/>
      <w:r w:rsidRPr="0062576E">
        <w:rPr>
          <w:rFonts w:ascii="Book Antiqua" w:hAnsi="Book Antiqua"/>
          <w:sz w:val="24"/>
          <w:szCs w:val="24"/>
        </w:rPr>
        <w:t>Pemasaran</w:t>
      </w:r>
      <w:proofErr w:type="spellEnd"/>
      <w:r w:rsidRPr="0062576E">
        <w:rPr>
          <w:rFonts w:ascii="Book Antiqua" w:hAnsi="Book Antiqua"/>
          <w:sz w:val="24"/>
          <w:szCs w:val="24"/>
        </w:rPr>
        <w:t xml:space="preserve">. Jakarta: Rajawali Pers; 2018. </w:t>
      </w:r>
    </w:p>
    <w:p w14:paraId="16852984"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Keller KL. Conceptualizing, Measuring, and Managing Customer-Based Brand Equity. J Mark. 1993;57(1):1–22. </w:t>
      </w:r>
    </w:p>
    <w:p w14:paraId="0D965C77"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proofErr w:type="spellStart"/>
      <w:r w:rsidRPr="0062576E">
        <w:rPr>
          <w:rFonts w:ascii="Book Antiqua" w:hAnsi="Book Antiqua"/>
          <w:sz w:val="24"/>
          <w:szCs w:val="24"/>
        </w:rPr>
        <w:t>Atilgan</w:t>
      </w:r>
      <w:proofErr w:type="spellEnd"/>
      <w:r w:rsidRPr="0062576E">
        <w:rPr>
          <w:rFonts w:ascii="Book Antiqua" w:hAnsi="Book Antiqua"/>
          <w:sz w:val="24"/>
          <w:szCs w:val="24"/>
        </w:rPr>
        <w:t xml:space="preserve"> E, Aksoy S, Akinci S. Determinants of brand equity. Mark Intell Plan. 2005;23(3):237–248. </w:t>
      </w:r>
    </w:p>
    <w:p w14:paraId="5C65EB7D"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proofErr w:type="spellStart"/>
      <w:r w:rsidRPr="0062576E">
        <w:rPr>
          <w:rFonts w:ascii="Book Antiqua" w:hAnsi="Book Antiqua"/>
          <w:sz w:val="24"/>
          <w:szCs w:val="24"/>
        </w:rPr>
        <w:t>Durianto</w:t>
      </w:r>
      <w:proofErr w:type="spellEnd"/>
      <w:r w:rsidRPr="0062576E">
        <w:rPr>
          <w:rFonts w:ascii="Book Antiqua" w:hAnsi="Book Antiqua"/>
          <w:sz w:val="24"/>
          <w:szCs w:val="24"/>
        </w:rPr>
        <w:t xml:space="preserve"> D. Strategi </w:t>
      </w:r>
      <w:proofErr w:type="spellStart"/>
      <w:r w:rsidRPr="0062576E">
        <w:rPr>
          <w:rFonts w:ascii="Book Antiqua" w:hAnsi="Book Antiqua"/>
          <w:sz w:val="24"/>
          <w:szCs w:val="24"/>
        </w:rPr>
        <w:t>Menaklukkan</w:t>
      </w:r>
      <w:proofErr w:type="spellEnd"/>
      <w:r w:rsidRPr="0062576E">
        <w:rPr>
          <w:rFonts w:ascii="Book Antiqua" w:hAnsi="Book Antiqua"/>
          <w:sz w:val="24"/>
          <w:szCs w:val="24"/>
        </w:rPr>
        <w:t xml:space="preserve"> Pasar </w:t>
      </w:r>
      <w:proofErr w:type="spellStart"/>
      <w:r w:rsidRPr="0062576E">
        <w:rPr>
          <w:rFonts w:ascii="Book Antiqua" w:hAnsi="Book Antiqua"/>
          <w:sz w:val="24"/>
          <w:szCs w:val="24"/>
        </w:rPr>
        <w:t>melalui</w:t>
      </w:r>
      <w:proofErr w:type="spellEnd"/>
      <w:r w:rsidRPr="0062576E">
        <w:rPr>
          <w:rFonts w:ascii="Book Antiqua" w:hAnsi="Book Antiqua"/>
          <w:sz w:val="24"/>
          <w:szCs w:val="24"/>
        </w:rPr>
        <w:t xml:space="preserve"> </w:t>
      </w:r>
      <w:proofErr w:type="spellStart"/>
      <w:r w:rsidRPr="0062576E">
        <w:rPr>
          <w:rFonts w:ascii="Book Antiqua" w:hAnsi="Book Antiqua"/>
          <w:sz w:val="24"/>
          <w:szCs w:val="24"/>
        </w:rPr>
        <w:t>Riset</w:t>
      </w:r>
      <w:proofErr w:type="spellEnd"/>
      <w:r w:rsidRPr="0062576E">
        <w:rPr>
          <w:rFonts w:ascii="Book Antiqua" w:hAnsi="Book Antiqua"/>
          <w:sz w:val="24"/>
          <w:szCs w:val="24"/>
        </w:rPr>
        <w:t xml:space="preserve"> </w:t>
      </w:r>
      <w:proofErr w:type="spellStart"/>
      <w:r w:rsidRPr="0062576E">
        <w:rPr>
          <w:rFonts w:ascii="Book Antiqua" w:hAnsi="Book Antiqua"/>
          <w:sz w:val="24"/>
          <w:szCs w:val="24"/>
        </w:rPr>
        <w:t>Ekuitas</w:t>
      </w:r>
      <w:proofErr w:type="spellEnd"/>
      <w:r w:rsidRPr="0062576E">
        <w:rPr>
          <w:rFonts w:ascii="Book Antiqua" w:hAnsi="Book Antiqua"/>
          <w:sz w:val="24"/>
          <w:szCs w:val="24"/>
        </w:rPr>
        <w:t xml:space="preserve"> dan </w:t>
      </w:r>
      <w:proofErr w:type="spellStart"/>
      <w:r w:rsidRPr="0062576E">
        <w:rPr>
          <w:rFonts w:ascii="Book Antiqua" w:hAnsi="Book Antiqua"/>
          <w:sz w:val="24"/>
          <w:szCs w:val="24"/>
        </w:rPr>
        <w:t>Perilaku</w:t>
      </w:r>
      <w:proofErr w:type="spellEnd"/>
      <w:r w:rsidRPr="0062576E">
        <w:rPr>
          <w:rFonts w:ascii="Book Antiqua" w:hAnsi="Book Antiqua"/>
          <w:sz w:val="24"/>
          <w:szCs w:val="24"/>
        </w:rPr>
        <w:t xml:space="preserve"> </w:t>
      </w:r>
      <w:proofErr w:type="spellStart"/>
      <w:r w:rsidRPr="0062576E">
        <w:rPr>
          <w:rFonts w:ascii="Book Antiqua" w:hAnsi="Book Antiqua"/>
          <w:sz w:val="24"/>
          <w:szCs w:val="24"/>
        </w:rPr>
        <w:t>Merek</w:t>
      </w:r>
      <w:proofErr w:type="spellEnd"/>
      <w:r w:rsidRPr="0062576E">
        <w:rPr>
          <w:rFonts w:ascii="Book Antiqua" w:hAnsi="Book Antiqua"/>
          <w:sz w:val="24"/>
          <w:szCs w:val="24"/>
        </w:rPr>
        <w:t xml:space="preserve">. Jakarta: Gramedia; 2017. </w:t>
      </w:r>
    </w:p>
    <w:p w14:paraId="4D080555"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Rossiter JR, Percy L. Advertising Communications and Promotion Management. New York: McGraw-Hill; 1997. </w:t>
      </w:r>
    </w:p>
    <w:p w14:paraId="47C16F6F"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Shimp TA. Advertising Promotion and Other Aspects of Integrated Marketing Communications. South-Western; 2014. </w:t>
      </w:r>
    </w:p>
    <w:p w14:paraId="62DCE231"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Low GS, Lamb CW. The measurement and dimensionality of brand associations. J Prod Brand Manag. 2000;9(6):350–370. </w:t>
      </w:r>
    </w:p>
    <w:p w14:paraId="4EDE6F15"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Keller KL. Brand Synthesis: The Multidimensionality of Brand Knowledge. J </w:t>
      </w:r>
      <w:proofErr w:type="spellStart"/>
      <w:r w:rsidRPr="0062576E">
        <w:rPr>
          <w:rFonts w:ascii="Book Antiqua" w:hAnsi="Book Antiqua"/>
          <w:sz w:val="24"/>
          <w:szCs w:val="24"/>
        </w:rPr>
        <w:t>Consum</w:t>
      </w:r>
      <w:proofErr w:type="spellEnd"/>
      <w:r w:rsidRPr="0062576E">
        <w:rPr>
          <w:rFonts w:ascii="Book Antiqua" w:hAnsi="Book Antiqua"/>
          <w:sz w:val="24"/>
          <w:szCs w:val="24"/>
        </w:rPr>
        <w:t xml:space="preserve"> Res. 2003;29(4):595–600. </w:t>
      </w:r>
    </w:p>
    <w:p w14:paraId="46584714"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proofErr w:type="spellStart"/>
      <w:r w:rsidRPr="0062576E">
        <w:rPr>
          <w:rFonts w:ascii="Book Antiqua" w:hAnsi="Book Antiqua"/>
          <w:sz w:val="24"/>
          <w:szCs w:val="24"/>
        </w:rPr>
        <w:lastRenderedPageBreak/>
        <w:t>Tjiptono</w:t>
      </w:r>
      <w:proofErr w:type="spellEnd"/>
      <w:r w:rsidRPr="0062576E">
        <w:rPr>
          <w:rFonts w:ascii="Book Antiqua" w:hAnsi="Book Antiqua"/>
          <w:sz w:val="24"/>
          <w:szCs w:val="24"/>
        </w:rPr>
        <w:t xml:space="preserve"> F, Chandra G. </w:t>
      </w:r>
      <w:proofErr w:type="spellStart"/>
      <w:r w:rsidRPr="0062576E">
        <w:rPr>
          <w:rFonts w:ascii="Book Antiqua" w:hAnsi="Book Antiqua"/>
          <w:sz w:val="24"/>
          <w:szCs w:val="24"/>
        </w:rPr>
        <w:t>Pemasaran</w:t>
      </w:r>
      <w:proofErr w:type="spellEnd"/>
      <w:r w:rsidRPr="0062576E">
        <w:rPr>
          <w:rFonts w:ascii="Book Antiqua" w:hAnsi="Book Antiqua"/>
          <w:sz w:val="24"/>
          <w:szCs w:val="24"/>
        </w:rPr>
        <w:t xml:space="preserve"> </w:t>
      </w:r>
      <w:proofErr w:type="spellStart"/>
      <w:r w:rsidRPr="0062576E">
        <w:rPr>
          <w:rFonts w:ascii="Book Antiqua" w:hAnsi="Book Antiqua"/>
          <w:sz w:val="24"/>
          <w:szCs w:val="24"/>
        </w:rPr>
        <w:t>Strategik</w:t>
      </w:r>
      <w:proofErr w:type="spellEnd"/>
      <w:r w:rsidRPr="0062576E">
        <w:rPr>
          <w:rFonts w:ascii="Book Antiqua" w:hAnsi="Book Antiqua"/>
          <w:sz w:val="24"/>
          <w:szCs w:val="24"/>
        </w:rPr>
        <w:t xml:space="preserve">. Yogyakarta: Andi; 2020. </w:t>
      </w:r>
    </w:p>
    <w:p w14:paraId="43ABAAEC"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Zeithaml VA. Consumer perceptions of price, quality, and value. J Mark. 1988;52(3):2–22. </w:t>
      </w:r>
    </w:p>
    <w:p w14:paraId="2BC905B7"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Garvin DA. Competing on the Eight Dimensions of Quality. Harv Bus Rev. 1987;65(6):101–109. </w:t>
      </w:r>
    </w:p>
    <w:p w14:paraId="59ECF91F"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Parasuraman A, Zeithaml VA, Berry LL. SERVQUAL: A Multiple-Item Scale for Measuring Consumer Perceptions of Service Quality. J Retail. 1988;64(1):12–40. </w:t>
      </w:r>
    </w:p>
    <w:p w14:paraId="731E0A94"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Griffin J. Customer Loyalty. Jakarta: </w:t>
      </w:r>
      <w:proofErr w:type="spellStart"/>
      <w:r w:rsidRPr="0062576E">
        <w:rPr>
          <w:rFonts w:ascii="Book Antiqua" w:hAnsi="Book Antiqua"/>
          <w:sz w:val="24"/>
          <w:szCs w:val="24"/>
        </w:rPr>
        <w:t>Erlangga</w:t>
      </w:r>
      <w:proofErr w:type="spellEnd"/>
      <w:r w:rsidRPr="0062576E">
        <w:rPr>
          <w:rFonts w:ascii="Book Antiqua" w:hAnsi="Book Antiqua"/>
          <w:sz w:val="24"/>
          <w:szCs w:val="24"/>
        </w:rPr>
        <w:t xml:space="preserve">; 2005. </w:t>
      </w:r>
    </w:p>
    <w:p w14:paraId="6288B451"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Oliver RL. Whence Consumer Loyalty? J Mark. 1999;63(4):33–44. </w:t>
      </w:r>
    </w:p>
    <w:p w14:paraId="317A7EA3"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Peter JP, Olson JC. Consumer Behavior and Marketing Strategy. New York: McGraw-Hill; 2010. </w:t>
      </w:r>
    </w:p>
    <w:p w14:paraId="43590CAE"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Sugiyono. </w:t>
      </w:r>
      <w:proofErr w:type="spellStart"/>
      <w:r w:rsidRPr="0062576E">
        <w:rPr>
          <w:rFonts w:ascii="Book Antiqua" w:hAnsi="Book Antiqua"/>
          <w:sz w:val="24"/>
          <w:szCs w:val="24"/>
        </w:rPr>
        <w:t>Metode</w:t>
      </w:r>
      <w:proofErr w:type="spellEnd"/>
      <w:r w:rsidRPr="0062576E">
        <w:rPr>
          <w:rFonts w:ascii="Book Antiqua" w:hAnsi="Book Antiqua"/>
          <w:sz w:val="24"/>
          <w:szCs w:val="24"/>
        </w:rPr>
        <w:t xml:space="preserve"> </w:t>
      </w:r>
      <w:proofErr w:type="spellStart"/>
      <w:r w:rsidRPr="0062576E">
        <w:rPr>
          <w:rFonts w:ascii="Book Antiqua" w:hAnsi="Book Antiqua"/>
          <w:sz w:val="24"/>
          <w:szCs w:val="24"/>
        </w:rPr>
        <w:t>Penelitian</w:t>
      </w:r>
      <w:proofErr w:type="spellEnd"/>
      <w:r w:rsidRPr="0062576E">
        <w:rPr>
          <w:rFonts w:ascii="Book Antiqua" w:hAnsi="Book Antiqua"/>
          <w:sz w:val="24"/>
          <w:szCs w:val="24"/>
        </w:rPr>
        <w:t xml:space="preserve"> </w:t>
      </w:r>
      <w:proofErr w:type="spellStart"/>
      <w:r w:rsidRPr="0062576E">
        <w:rPr>
          <w:rFonts w:ascii="Book Antiqua" w:hAnsi="Book Antiqua"/>
          <w:sz w:val="24"/>
          <w:szCs w:val="24"/>
        </w:rPr>
        <w:t>Kuantitatif</w:t>
      </w:r>
      <w:proofErr w:type="spellEnd"/>
      <w:r w:rsidRPr="0062576E">
        <w:rPr>
          <w:rFonts w:ascii="Book Antiqua" w:hAnsi="Book Antiqua"/>
          <w:sz w:val="24"/>
          <w:szCs w:val="24"/>
        </w:rPr>
        <w:t xml:space="preserve">, </w:t>
      </w:r>
      <w:proofErr w:type="spellStart"/>
      <w:r w:rsidRPr="0062576E">
        <w:rPr>
          <w:rFonts w:ascii="Book Antiqua" w:hAnsi="Book Antiqua"/>
          <w:sz w:val="24"/>
          <w:szCs w:val="24"/>
        </w:rPr>
        <w:t>Kualitatif</w:t>
      </w:r>
      <w:proofErr w:type="spellEnd"/>
      <w:r w:rsidRPr="0062576E">
        <w:rPr>
          <w:rFonts w:ascii="Book Antiqua" w:hAnsi="Book Antiqua"/>
          <w:sz w:val="24"/>
          <w:szCs w:val="24"/>
        </w:rPr>
        <w:t xml:space="preserve"> dan R&amp;D. Bandung: </w:t>
      </w:r>
      <w:proofErr w:type="spellStart"/>
      <w:r w:rsidRPr="0062576E">
        <w:rPr>
          <w:rFonts w:ascii="Book Antiqua" w:hAnsi="Book Antiqua"/>
          <w:sz w:val="24"/>
          <w:szCs w:val="24"/>
        </w:rPr>
        <w:t>Alfabeta</w:t>
      </w:r>
      <w:proofErr w:type="spellEnd"/>
      <w:r w:rsidRPr="0062576E">
        <w:rPr>
          <w:rFonts w:ascii="Book Antiqua" w:hAnsi="Book Antiqua"/>
          <w:sz w:val="24"/>
          <w:szCs w:val="24"/>
        </w:rPr>
        <w:t xml:space="preserve">; 2019. </w:t>
      </w:r>
    </w:p>
    <w:p w14:paraId="4A484467"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Creswell JW. Research Design: Qualitative, Quantitative and Mixed Methods Approaches. 5th ed. Sage; 2018. </w:t>
      </w:r>
    </w:p>
    <w:p w14:paraId="51751169"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Hair JF, Black WC, Babin BJ, Anderson RE. Multivariate Data Analysis. 7th ed. Pearson; 2014. </w:t>
      </w:r>
    </w:p>
    <w:p w14:paraId="1329DBDD" w14:textId="77777777" w:rsidR="00DF38B5" w:rsidRPr="0062576E" w:rsidRDefault="00DF38B5" w:rsidP="001811A2">
      <w:pPr>
        <w:numPr>
          <w:ilvl w:val="0"/>
          <w:numId w:val="3"/>
        </w:numPr>
        <w:spacing w:after="0" w:line="278" w:lineRule="auto"/>
        <w:ind w:left="426"/>
        <w:jc w:val="both"/>
        <w:rPr>
          <w:rFonts w:ascii="Book Antiqua" w:hAnsi="Book Antiqua"/>
          <w:sz w:val="24"/>
          <w:szCs w:val="24"/>
        </w:rPr>
      </w:pPr>
      <w:r w:rsidRPr="0062576E">
        <w:rPr>
          <w:rFonts w:ascii="Book Antiqua" w:hAnsi="Book Antiqua"/>
          <w:sz w:val="24"/>
          <w:szCs w:val="24"/>
        </w:rPr>
        <w:t xml:space="preserve">Sekaran U, Bougie R. Research Methods for Business. 7th ed. Wiley; 2016. </w:t>
      </w:r>
    </w:p>
    <w:p w14:paraId="28F730F1" w14:textId="160C4A55" w:rsidR="00DF38B5" w:rsidRPr="001811A2" w:rsidRDefault="00DF38B5" w:rsidP="001811A2">
      <w:pPr>
        <w:numPr>
          <w:ilvl w:val="0"/>
          <w:numId w:val="3"/>
        </w:numPr>
        <w:spacing w:after="0" w:line="278" w:lineRule="auto"/>
        <w:ind w:left="426"/>
        <w:jc w:val="both"/>
        <w:rPr>
          <w:rFonts w:ascii="Book Antiqua" w:hAnsi="Book Antiqua"/>
          <w:sz w:val="24"/>
          <w:szCs w:val="24"/>
        </w:rPr>
      </w:pPr>
      <w:proofErr w:type="spellStart"/>
      <w:r w:rsidRPr="0062576E">
        <w:rPr>
          <w:rFonts w:ascii="Book Antiqua" w:hAnsi="Book Antiqua"/>
          <w:sz w:val="24"/>
          <w:szCs w:val="24"/>
        </w:rPr>
        <w:t>Ghozali</w:t>
      </w:r>
      <w:proofErr w:type="spellEnd"/>
      <w:r w:rsidRPr="0062576E">
        <w:rPr>
          <w:rFonts w:ascii="Book Antiqua" w:hAnsi="Book Antiqua"/>
          <w:sz w:val="24"/>
          <w:szCs w:val="24"/>
        </w:rPr>
        <w:t xml:space="preserve"> I. </w:t>
      </w:r>
      <w:proofErr w:type="spellStart"/>
      <w:r w:rsidRPr="0062576E">
        <w:rPr>
          <w:rFonts w:ascii="Book Antiqua" w:hAnsi="Book Antiqua"/>
          <w:sz w:val="24"/>
          <w:szCs w:val="24"/>
        </w:rPr>
        <w:t>Aplikasi</w:t>
      </w:r>
      <w:proofErr w:type="spellEnd"/>
      <w:r w:rsidRPr="0062576E">
        <w:rPr>
          <w:rFonts w:ascii="Book Antiqua" w:hAnsi="Book Antiqua"/>
          <w:sz w:val="24"/>
          <w:szCs w:val="24"/>
        </w:rPr>
        <w:t xml:space="preserve"> </w:t>
      </w:r>
      <w:proofErr w:type="spellStart"/>
      <w:r w:rsidRPr="0062576E">
        <w:rPr>
          <w:rFonts w:ascii="Book Antiqua" w:hAnsi="Book Antiqua"/>
          <w:sz w:val="24"/>
          <w:szCs w:val="24"/>
        </w:rPr>
        <w:t>Analisis</w:t>
      </w:r>
      <w:proofErr w:type="spellEnd"/>
      <w:r w:rsidRPr="0062576E">
        <w:rPr>
          <w:rFonts w:ascii="Book Antiqua" w:hAnsi="Book Antiqua"/>
          <w:sz w:val="24"/>
          <w:szCs w:val="24"/>
        </w:rPr>
        <w:t xml:space="preserve"> Multivariate </w:t>
      </w:r>
      <w:proofErr w:type="spellStart"/>
      <w:r w:rsidRPr="0062576E">
        <w:rPr>
          <w:rFonts w:ascii="Book Antiqua" w:hAnsi="Book Antiqua"/>
          <w:sz w:val="24"/>
          <w:szCs w:val="24"/>
        </w:rPr>
        <w:t>dengan</w:t>
      </w:r>
      <w:proofErr w:type="spellEnd"/>
      <w:r w:rsidRPr="0062576E">
        <w:rPr>
          <w:rFonts w:ascii="Book Antiqua" w:hAnsi="Book Antiqua"/>
          <w:sz w:val="24"/>
          <w:szCs w:val="24"/>
        </w:rPr>
        <w:t xml:space="preserve"> Program IBM SPSS. Semarang: Badan </w:t>
      </w:r>
      <w:proofErr w:type="spellStart"/>
      <w:r w:rsidRPr="0062576E">
        <w:rPr>
          <w:rFonts w:ascii="Book Antiqua" w:hAnsi="Book Antiqua"/>
          <w:sz w:val="24"/>
          <w:szCs w:val="24"/>
        </w:rPr>
        <w:t>Penerbit</w:t>
      </w:r>
      <w:proofErr w:type="spellEnd"/>
      <w:r w:rsidRPr="0062576E">
        <w:rPr>
          <w:rFonts w:ascii="Book Antiqua" w:hAnsi="Book Antiqua"/>
          <w:sz w:val="24"/>
          <w:szCs w:val="24"/>
        </w:rPr>
        <w:t xml:space="preserve"> Universitas </w:t>
      </w:r>
      <w:proofErr w:type="spellStart"/>
      <w:r w:rsidRPr="0062576E">
        <w:rPr>
          <w:rFonts w:ascii="Book Antiqua" w:hAnsi="Book Antiqua"/>
          <w:sz w:val="24"/>
          <w:szCs w:val="24"/>
        </w:rPr>
        <w:t>Diponegoro</w:t>
      </w:r>
      <w:proofErr w:type="spellEnd"/>
      <w:r w:rsidRPr="0062576E">
        <w:rPr>
          <w:rFonts w:ascii="Book Antiqua" w:hAnsi="Book Antiqua"/>
          <w:sz w:val="24"/>
          <w:szCs w:val="24"/>
        </w:rPr>
        <w:t>; 2021.</w:t>
      </w:r>
    </w:p>
    <w:sectPr w:rsidR="00DF38B5" w:rsidRPr="001811A2" w:rsidSect="001811A2">
      <w:headerReference w:type="even" r:id="rId9"/>
      <w:headerReference w:type="default" r:id="rId10"/>
      <w:footerReference w:type="even" r:id="rId11"/>
      <w:footerReference w:type="default" r:id="rId12"/>
      <w:headerReference w:type="first" r:id="rId13"/>
      <w:footerReference w:type="first" r:id="rId14"/>
      <w:pgSz w:w="11906" w:h="16838"/>
      <w:pgMar w:top="1699" w:right="1411" w:bottom="1699" w:left="1411" w:header="567" w:footer="562" w:gutter="0"/>
      <w:pgNumType w:start="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C21EF" w14:textId="77777777" w:rsidR="00A8111F" w:rsidRDefault="00A8111F">
      <w:pPr>
        <w:spacing w:after="0" w:line="240" w:lineRule="auto"/>
      </w:pPr>
      <w:r>
        <w:separator/>
      </w:r>
    </w:p>
  </w:endnote>
  <w:endnote w:type="continuationSeparator" w:id="0">
    <w:p w14:paraId="0188BC54" w14:textId="77777777" w:rsidR="00A8111F" w:rsidRDefault="00A81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embedRegular r:id="rId1" w:fontKey="{F5A1D84D-FA57-DA47-8D7D-ED9D0F6FEFB0}"/>
    <w:embedBold r:id="rId2" w:fontKey="{AF37109D-49D4-8548-9631-BAFBF2284390}"/>
    <w:embedItalic r:id="rId3" w:fontKey="{54A7602B-A423-394D-A9A2-B387F8AAC437}"/>
    <w:embedBoldItalic r:id="rId4" w:fontKey="{EC309F07-9185-1B43-B4C5-FAC1A3EE974E}"/>
  </w:font>
  <w:font w:name="Courier New">
    <w:panose1 w:val="02070309020205020404"/>
    <w:charset w:val="00"/>
    <w:family w:val="modern"/>
    <w:pitch w:val="fixed"/>
    <w:sig w:usb0="E0002AFF" w:usb1="C0007843" w:usb2="00000009" w:usb3="00000000" w:csb0="000001FF" w:csb1="00000000"/>
    <w:embedRegular r:id="rId5" w:fontKey="{EB6ECA62-5109-4A4F-9F30-8E9D78346583}"/>
  </w:font>
  <w:font w:name="Wingdings">
    <w:panose1 w:val="05000000000000000000"/>
    <w:charset w:val="4D"/>
    <w:family w:val="decorative"/>
    <w:pitch w:val="variable"/>
    <w:sig w:usb0="00000003" w:usb1="00000000" w:usb2="00000000" w:usb3="00000000" w:csb0="80000001" w:csb1="00000000"/>
    <w:embedRegular r:id="rId6" w:fontKey="{D49814E6-F76B-0446-BBA9-D6E3285AAFD1}"/>
  </w:font>
  <w:font w:name="Symbol">
    <w:panose1 w:val="05050102010706020507"/>
    <w:charset w:val="02"/>
    <w:family w:val="decorative"/>
    <w:pitch w:val="variable"/>
    <w:sig w:usb0="00000000" w:usb1="10000000" w:usb2="00000000" w:usb3="00000000" w:csb0="80000000" w:csb1="00000000"/>
    <w:embedRegular r:id="rId7" w:fontKey="{A6170949-8EB2-064A-B9AD-34853FC5EC51}"/>
  </w:font>
  <w:font w:name="Calibri">
    <w:panose1 w:val="020F0502020204030204"/>
    <w:charset w:val="00"/>
    <w:family w:val="swiss"/>
    <w:pitch w:val="variable"/>
    <w:sig w:usb0="E0002AFF" w:usb1="C000247B" w:usb2="00000009" w:usb3="00000000" w:csb0="000001FF" w:csb1="00000000"/>
    <w:embedRegular r:id="rId8" w:fontKey="{D265DF35-99AE-3149-9260-EC99F4027547}"/>
    <w:embedBold r:id="rId9" w:fontKey="{689C2F64-DDE1-3147-B0FC-C20806C72235}"/>
    <w:embedItalic r:id="rId10" w:fontKey="{7F869A39-0347-6E4B-89B8-6F427A4E6670}"/>
    <w:embedBoldItalic r:id="rId11" w:fontKey="{0574F007-7DB0-3845-B6B7-F7B6AA17A0C8}"/>
  </w:font>
  <w:font w:name="Cambria">
    <w:altName w:val="Cambria"/>
    <w:panose1 w:val="02040503050406030204"/>
    <w:charset w:val="01"/>
    <w:family w:val="roman"/>
    <w:pitch w:val="variable"/>
    <w:sig w:usb0="E00002FF" w:usb1="400004FF" w:usb2="00000000" w:usb3="00000000" w:csb0="0000019F" w:csb1="00000000"/>
    <w:embedRegular r:id="rId12" w:fontKey="{4FC41CBD-1503-6742-8ED3-79ED3AD168E6}"/>
    <w:embedBold r:id="rId13" w:fontKey="{5A4150BF-56D4-9F45-9005-02EAF1884268}"/>
    <w:embedBoldItalic r:id="rId14" w:fontKey="{5804FC6A-27EF-7D4F-B906-EFC09972A3BA}"/>
  </w:font>
  <w:font w:name="Tahoma">
    <w:panose1 w:val="020B0604030504040204"/>
    <w:charset w:val="00"/>
    <w:family w:val="swiss"/>
    <w:pitch w:val="variable"/>
    <w:sig w:usb0="E1002EFF" w:usb1="C000605B" w:usb2="00000029" w:usb3="00000000" w:csb0="000101FF" w:csb1="00000000"/>
    <w:embedRegular r:id="rId15" w:fontKey="{ACC16FDB-20BC-F14F-A2CB-E738BFE2D790}"/>
  </w:font>
  <w:font w:name="Consolas">
    <w:panose1 w:val="020B0609020204030204"/>
    <w:charset w:val="00"/>
    <w:family w:val="modern"/>
    <w:pitch w:val="fixed"/>
    <w:sig w:usb0="E10002FF" w:usb1="4000FCFF" w:usb2="00000009" w:usb3="00000000" w:csb0="0000019F" w:csb1="00000000"/>
    <w:embedRegular r:id="rId16" w:fontKey="{273AEF20-123E-EE44-9049-77E40B541E0B}"/>
  </w:font>
  <w:font w:name="Arial">
    <w:panose1 w:val="020B0604020202020204"/>
    <w:charset w:val="01"/>
    <w:family w:val="swiss"/>
    <w:pitch w:val="variable"/>
    <w:sig w:usb0="E0002AFF" w:usb1="C0007843" w:usb2="00000009" w:usb3="00000000" w:csb0="000001FF" w:csb1="00000000"/>
    <w:embedRegular r:id="rId17" w:fontKey="{283647F2-46E8-B34D-9609-181F31370709}"/>
    <w:embedBold r:id="rId18" w:fontKey="{4D9B8D8E-C393-FF4E-8D38-481B65D927DA}"/>
  </w:font>
  <w:font w:name="SimSun">
    <w:altName w:val="宋体"/>
    <w:panose1 w:val="02010600030101010101"/>
    <w:charset w:val="86"/>
    <w:family w:val="auto"/>
    <w:pitch w:val="variable"/>
    <w:sig w:usb0="000002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embedRegular r:id="rId19" w:fontKey="{6AAFF876-6C46-7E49-8510-6146C8498029}"/>
    <w:embedBold r:id="rId20" w:fontKey="{000E6EB3-4438-EA4A-A16B-6AC6BBC74216}"/>
    <w:embedItalic r:id="rId21" w:fontKey="{0BB75A84-0344-FC49-91D9-ECBCB7EBE61D}"/>
    <w:embedBoldItalic r:id="rId22" w:fontKey="{6252919E-C656-144A-9DEE-4A46EC3CCCE2}"/>
  </w:font>
  <w:font w:name="Goudy Old Style">
    <w:panose1 w:val="02020502050305020303"/>
    <w:charset w:val="4D"/>
    <w:family w:val="roman"/>
    <w:pitch w:val="variable"/>
    <w:sig w:usb0="00000003" w:usb1="00000000" w:usb2="00000000" w:usb3="00000000" w:csb0="00000001" w:csb1="00000000"/>
    <w:embedRegular r:id="rId23" w:fontKey="{E69D506D-C4B3-C146-80EA-C6A2CD2C4314}"/>
    <w:embedBold r:id="rId24" w:fontKey="{3947C548-DA6C-C044-B66D-DD90A977881D}"/>
  </w:font>
  <w:font w:name="Sorts Mill Goudy">
    <w:panose1 w:val="020B0604020202020204"/>
    <w:charset w:val="00"/>
    <w:family w:val="auto"/>
    <w:pitch w:val="default"/>
    <w:embedRegular r:id="rId25" w:fontKey="{752E1581-AF97-0946-9C51-DC13E80263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868EC" w14:textId="77777777" w:rsidR="00DF38B5" w:rsidRPr="00DF38B5" w:rsidRDefault="00DF38B5" w:rsidP="00DF38B5">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sz w:val="20"/>
        <w:szCs w:val="20"/>
        <w:lang w:val="en-US"/>
      </w:rPr>
    </w:pPr>
    <w:r w:rsidRPr="00DF38B5">
      <w:rPr>
        <w:rFonts w:ascii="Book Antiqua" w:eastAsia="Book Antiqua" w:hAnsi="Book Antiqua" w:cs="Book Antiqua"/>
        <w:color w:val="000000"/>
        <w:sz w:val="20"/>
        <w:szCs w:val="20"/>
        <w:lang w:val="en-US"/>
      </w:rPr>
      <w:t xml:space="preserve">Comparative Analysis </w:t>
    </w:r>
    <w:proofErr w:type="gramStart"/>
    <w:r w:rsidRPr="00DF38B5">
      <w:rPr>
        <w:rFonts w:ascii="Book Antiqua" w:eastAsia="Book Antiqua" w:hAnsi="Book Antiqua" w:cs="Book Antiqua"/>
        <w:color w:val="000000"/>
        <w:sz w:val="20"/>
        <w:szCs w:val="20"/>
        <w:lang w:val="en-US"/>
      </w:rPr>
      <w:t>Of</w:t>
    </w:r>
    <w:proofErr w:type="gramEnd"/>
    <w:r w:rsidRPr="00DF38B5">
      <w:rPr>
        <w:rFonts w:ascii="Book Antiqua" w:eastAsia="Book Antiqua" w:hAnsi="Book Antiqua" w:cs="Book Antiqua"/>
        <w:color w:val="000000"/>
        <w:sz w:val="20"/>
        <w:szCs w:val="20"/>
        <w:lang w:val="en-US"/>
      </w:rPr>
      <w:t xml:space="preserve"> Brand Equity Between Aqua and Le </w:t>
    </w:r>
    <w:proofErr w:type="spellStart"/>
    <w:r w:rsidRPr="00DF38B5">
      <w:rPr>
        <w:rFonts w:ascii="Book Antiqua" w:eastAsia="Book Antiqua" w:hAnsi="Book Antiqua" w:cs="Book Antiqua"/>
        <w:color w:val="000000"/>
        <w:sz w:val="20"/>
        <w:szCs w:val="20"/>
        <w:lang w:val="en-US"/>
      </w:rPr>
      <w:t>Minerale</w:t>
    </w:r>
    <w:proofErr w:type="spellEnd"/>
    <w:r w:rsidRPr="00DF38B5">
      <w:rPr>
        <w:rFonts w:ascii="Book Antiqua" w:eastAsia="Book Antiqua" w:hAnsi="Book Antiqua" w:cs="Book Antiqua"/>
        <w:color w:val="000000"/>
        <w:sz w:val="20"/>
        <w:szCs w:val="20"/>
        <w:lang w:val="en-US"/>
      </w:rPr>
      <w:t xml:space="preserve"> Bottled Drinking Water Products</w:t>
    </w:r>
  </w:p>
  <w:p w14:paraId="213F1EC3" w14:textId="7520C73D" w:rsidR="005A3AEC" w:rsidRPr="00DF38B5" w:rsidRDefault="005A3AEC" w:rsidP="00DF38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3A49" w14:textId="012288E0" w:rsidR="005A3AEC" w:rsidRPr="00DF38B5" w:rsidRDefault="004D29F5" w:rsidP="001811A2">
    <w:pPr>
      <w:pBdr>
        <w:top w:val="nil"/>
        <w:left w:val="nil"/>
        <w:bottom w:val="nil"/>
        <w:right w:val="nil"/>
        <w:between w:val="nil"/>
      </w:pBdr>
      <w:tabs>
        <w:tab w:val="center" w:pos="4513"/>
        <w:tab w:val="right" w:pos="9026"/>
      </w:tabs>
      <w:spacing w:after="0" w:line="240" w:lineRule="auto"/>
      <w:jc w:val="both"/>
      <w:rPr>
        <w:rFonts w:ascii="Book Antiqua" w:eastAsia="Book Antiqua" w:hAnsi="Book Antiqua" w:cs="Book Antiqua"/>
        <w:color w:val="000000"/>
        <w:sz w:val="20"/>
        <w:szCs w:val="20"/>
        <w:lang w:val="en-US"/>
      </w:rPr>
    </w:pPr>
    <w:r w:rsidRPr="00DF38B5">
      <w:rPr>
        <w:rFonts w:ascii="Book Antiqua" w:eastAsia="Book Antiqua" w:hAnsi="Book Antiqua" w:cs="Book Antiqua"/>
        <w:color w:val="000000"/>
        <w:sz w:val="20"/>
        <w:szCs w:val="20"/>
        <w:lang w:val="en-US"/>
      </w:rPr>
      <w:t xml:space="preserve">Comparative Analysis </w:t>
    </w:r>
    <w:r w:rsidR="00DF38B5">
      <w:rPr>
        <w:rFonts w:ascii="Book Antiqua" w:eastAsia="Book Antiqua" w:hAnsi="Book Antiqua" w:cs="Book Antiqua"/>
        <w:color w:val="000000"/>
        <w:sz w:val="20"/>
        <w:szCs w:val="20"/>
        <w:lang w:val="en-US"/>
      </w:rPr>
      <w:t>o</w:t>
    </w:r>
    <w:r w:rsidRPr="00DF38B5">
      <w:rPr>
        <w:rFonts w:ascii="Book Antiqua" w:eastAsia="Book Antiqua" w:hAnsi="Book Antiqua" w:cs="Book Antiqua"/>
        <w:color w:val="000000"/>
        <w:sz w:val="20"/>
        <w:szCs w:val="20"/>
        <w:lang w:val="en-US"/>
      </w:rPr>
      <w:t xml:space="preserve">f Brand Equity Between Aqua and Le </w:t>
    </w:r>
    <w:proofErr w:type="spellStart"/>
    <w:r w:rsidRPr="00DF38B5">
      <w:rPr>
        <w:rFonts w:ascii="Book Antiqua" w:eastAsia="Book Antiqua" w:hAnsi="Book Antiqua" w:cs="Book Antiqua"/>
        <w:color w:val="000000"/>
        <w:sz w:val="20"/>
        <w:szCs w:val="20"/>
        <w:lang w:val="en-US"/>
      </w:rPr>
      <w:t>Minerale</w:t>
    </w:r>
    <w:proofErr w:type="spellEnd"/>
    <w:r w:rsidRPr="00DF38B5">
      <w:rPr>
        <w:rFonts w:ascii="Book Antiqua" w:eastAsia="Book Antiqua" w:hAnsi="Book Antiqua" w:cs="Book Antiqua"/>
        <w:color w:val="000000"/>
        <w:sz w:val="20"/>
        <w:szCs w:val="20"/>
        <w:lang w:val="en-US"/>
      </w:rPr>
      <w:t xml:space="preserve"> Bottled Drinking Water Products</w:t>
    </w:r>
  </w:p>
  <w:p w14:paraId="1004F038" w14:textId="77777777" w:rsidR="005A3AEC" w:rsidRDefault="00000000">
    <w:pPr>
      <w:pBdr>
        <w:top w:val="nil"/>
        <w:left w:val="nil"/>
        <w:bottom w:val="nil"/>
        <w:right w:val="nil"/>
        <w:between w:val="nil"/>
      </w:pBdr>
      <w:tabs>
        <w:tab w:val="center" w:pos="4513"/>
        <w:tab w:val="right" w:pos="9026"/>
      </w:tabs>
      <w:spacing w:after="0" w:line="240" w:lineRule="auto"/>
      <w:jc w:val="right"/>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fldChar w:fldCharType="begin"/>
    </w:r>
    <w:r>
      <w:rPr>
        <w:rFonts w:ascii="Sorts Mill Goudy" w:eastAsia="Sorts Mill Goudy" w:hAnsi="Sorts Mill Goudy" w:cs="Sorts Mill Goudy"/>
        <w:color w:val="000000"/>
        <w:sz w:val="24"/>
        <w:szCs w:val="24"/>
      </w:rPr>
      <w:instrText>PAGE</w:instrText>
    </w:r>
    <w:r>
      <w:rPr>
        <w:rFonts w:ascii="Sorts Mill Goudy" w:eastAsia="Sorts Mill Goudy" w:hAnsi="Sorts Mill Goudy" w:cs="Sorts Mill Goudy"/>
        <w:color w:val="000000"/>
        <w:sz w:val="24"/>
        <w:szCs w:val="24"/>
      </w:rPr>
      <w:fldChar w:fldCharType="separate"/>
    </w:r>
    <w:r w:rsidR="004D29F5">
      <w:rPr>
        <w:rFonts w:ascii="Sorts Mill Goudy" w:eastAsia="Sorts Mill Goudy" w:hAnsi="Sorts Mill Goudy" w:cs="Sorts Mill Goudy"/>
        <w:noProof/>
        <w:color w:val="000000"/>
        <w:sz w:val="24"/>
        <w:szCs w:val="24"/>
      </w:rPr>
      <w:t>1</w:t>
    </w:r>
    <w:r>
      <w:rPr>
        <w:rFonts w:ascii="Sorts Mill Goudy" w:eastAsia="Sorts Mill Goudy" w:hAnsi="Sorts Mill Goudy" w:cs="Sorts Mill Goudy"/>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3629" w14:textId="77777777" w:rsidR="005A3AEC" w:rsidRDefault="00000000">
    <w:pPr>
      <w:pBdr>
        <w:top w:val="nil"/>
        <w:left w:val="nil"/>
        <w:bottom w:val="nil"/>
        <w:right w:val="nil"/>
        <w:between w:val="nil"/>
      </w:pBdr>
      <w:tabs>
        <w:tab w:val="center" w:pos="4513"/>
        <w:tab w:val="right" w:pos="9026"/>
      </w:tabs>
      <w:spacing w:after="0" w:line="240" w:lineRule="auto"/>
      <w:jc w:val="right"/>
      <w:rPr>
        <w:color w:val="000000"/>
      </w:rPr>
    </w:pPr>
    <w:r>
      <w:rPr>
        <w:rFonts w:ascii="Sorts Mill Goudy" w:eastAsia="Sorts Mill Goudy" w:hAnsi="Sorts Mill Goudy" w:cs="Sorts Mill Goudy"/>
        <w:noProof/>
        <w:color w:val="000000"/>
      </w:rPr>
      <w:drawing>
        <wp:inline distT="0" distB="0" distL="0" distR="0" wp14:anchorId="73A7FBDE" wp14:editId="0E766698">
          <wp:extent cx="729313" cy="256917"/>
          <wp:effectExtent l="0" t="0" r="0" b="0"/>
          <wp:docPr id="143221939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29313" cy="256917"/>
                  </a:xfrm>
                  <a:prstGeom prst="rect">
                    <a:avLst/>
                  </a:prstGeom>
                  <a:ln/>
                </pic:spPr>
              </pic:pic>
            </a:graphicData>
          </a:graphic>
        </wp:inline>
      </w:drawing>
    </w:r>
    <w:r>
      <w:rPr>
        <w:color w:val="000000"/>
      </w:rPr>
      <w:t xml:space="preserve">        </w:t>
    </w:r>
    <w:r>
      <w:rPr>
        <w:rFonts w:ascii="Book Antiqua" w:eastAsia="Book Antiqua" w:hAnsi="Book Antiqua" w:cs="Book Antiqua"/>
        <w:b/>
        <w:bCs/>
        <w:color w:val="002060"/>
        <w:sz w:val="20"/>
        <w:szCs w:val="20"/>
      </w:rPr>
      <w:t>Copyright © The Author(s)</w:t>
    </w:r>
    <w:r>
      <w:rPr>
        <w:rFonts w:ascii="Book Antiqua" w:eastAsia="Book Antiqua" w:hAnsi="Book Antiqua" w:cs="Book Antiqua"/>
        <w:b/>
        <w:bCs/>
        <w:color w:val="002060"/>
        <w:sz w:val="12"/>
        <w:szCs w:val="12"/>
      </w:rPr>
      <w:t xml:space="preserve"> This work is licensed under a </w:t>
    </w:r>
    <w:hyperlink r:id="rId2">
      <w:r>
        <w:rPr>
          <w:rFonts w:ascii="Book Antiqua" w:eastAsia="Book Antiqua" w:hAnsi="Book Antiqua" w:cs="Book Antiqua"/>
          <w:b/>
          <w:bCs/>
          <w:color w:val="002060"/>
          <w:sz w:val="12"/>
          <w:szCs w:val="12"/>
          <w:u w:val="single"/>
        </w:rPr>
        <w:t>Creative Commons Attribution 4.0 International License</w:t>
      </w:r>
    </w:hyperlink>
    <w:r>
      <w:rPr>
        <w:noProof/>
      </w:rPr>
      <mc:AlternateContent>
        <mc:Choice Requires="wps">
          <w:drawing>
            <wp:anchor distT="0" distB="0" distL="114300" distR="114300" simplePos="0" relativeHeight="251662336" behindDoc="0" locked="0" layoutInCell="1" hidden="0" allowOverlap="1" wp14:anchorId="6F4A7AE8" wp14:editId="1759FE22">
              <wp:simplePos x="0" y="0"/>
              <wp:positionH relativeFrom="column">
                <wp:posOffset>1</wp:posOffset>
              </wp:positionH>
              <wp:positionV relativeFrom="paragraph">
                <wp:posOffset>-87678</wp:posOffset>
              </wp:positionV>
              <wp:extent cx="0" cy="12700"/>
              <wp:effectExtent l="0" t="0" r="0" b="0"/>
              <wp:wrapNone/>
              <wp:docPr id="1432219391" name="Straight Arrow Connector 1432219391"/>
              <wp:cNvGraphicFramePr/>
              <a:graphic xmlns:a="http://schemas.openxmlformats.org/drawingml/2006/main">
                <a:graphicData uri="http://schemas.microsoft.com/office/word/2010/wordprocessingShape">
                  <wps:wsp>
                    <wps:cNvCnPr/>
                    <wps:spPr>
                      <a:xfrm>
                        <a:off x="2463100" y="3780000"/>
                        <a:ext cx="5765800" cy="0"/>
                      </a:xfrm>
                      <a:prstGeom prst="straightConnector1">
                        <a:avLst/>
                      </a:prstGeom>
                      <a:noFill/>
                      <a:ln w="12700" cap="flat" cmpd="sng">
                        <a:solidFill>
                          <a:srgbClr val="002060"/>
                        </a:solidFill>
                        <a:prstDash val="solid"/>
                        <a:round/>
                        <a:headEnd type="none" w="sm" len="sm"/>
                        <a:tailEnd type="none" w="sm" len="sm"/>
                      </a:ln>
                    </wps:spPr>
                    <wps:bodyPr/>
                  </wps:wsp>
                </a:graphicData>
              </a:graphic>
            </wp:anchor>
          </w:drawing>
        </mc:Choice>
        <mc:Fallback xmlns:w16du="http://schemas.microsoft.com/office/word/2023/wordml/word16du"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-87678</wp:posOffset>
              </wp:positionV>
              <wp:extent cx="0" cy="12700"/>
              <wp:effectExtent b="0" l="0" r="0" t="0"/>
              <wp:wrapNone/>
              <wp:docPr id="1432219391"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p>
  <w:p w14:paraId="4790A593" w14:textId="77777777" w:rsidR="005A3AEC" w:rsidRDefault="00000000">
    <w:pPr>
      <w:pBdr>
        <w:top w:val="nil"/>
        <w:left w:val="nil"/>
        <w:bottom w:val="nil"/>
        <w:right w:val="nil"/>
        <w:between w:val="nil"/>
      </w:pBdr>
      <w:tabs>
        <w:tab w:val="center" w:pos="4513"/>
        <w:tab w:val="right" w:pos="9026"/>
        <w:tab w:val="left" w:pos="1820"/>
        <w:tab w:val="right" w:pos="9084"/>
      </w:tabs>
      <w:spacing w:after="0" w:line="240" w:lineRule="auto"/>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ab/>
    </w:r>
    <w:r>
      <w:rPr>
        <w:rFonts w:ascii="Sorts Mill Goudy" w:eastAsia="Sorts Mill Goudy" w:hAnsi="Sorts Mill Goudy" w:cs="Sorts Mill Goudy"/>
        <w:color w:val="000000"/>
        <w:sz w:val="24"/>
        <w:szCs w:val="24"/>
      </w:rPr>
      <w:tab/>
    </w:r>
    <w:r>
      <w:rPr>
        <w:rFonts w:ascii="Sorts Mill Goudy" w:eastAsia="Sorts Mill Goudy" w:hAnsi="Sorts Mill Goudy" w:cs="Sorts Mill Goudy"/>
        <w:color w:val="000000"/>
        <w:sz w:val="24"/>
        <w:szCs w:val="24"/>
      </w:rPr>
      <w:tab/>
    </w:r>
    <w:r>
      <w:rPr>
        <w:rFonts w:ascii="Sorts Mill Goudy" w:eastAsia="Sorts Mill Goudy" w:hAnsi="Sorts Mill Goudy" w:cs="Sorts Mill Goudy"/>
        <w:color w:val="000000"/>
        <w:sz w:val="24"/>
        <w:szCs w:val="24"/>
      </w:rPr>
      <w:fldChar w:fldCharType="begin"/>
    </w:r>
    <w:r>
      <w:rPr>
        <w:rFonts w:ascii="Sorts Mill Goudy" w:eastAsia="Sorts Mill Goudy" w:hAnsi="Sorts Mill Goudy" w:cs="Sorts Mill Goudy"/>
        <w:color w:val="000000"/>
        <w:sz w:val="24"/>
        <w:szCs w:val="24"/>
      </w:rPr>
      <w:instrText>PAGE</w:instrText>
    </w:r>
    <w:r>
      <w:rPr>
        <w:rFonts w:ascii="Sorts Mill Goudy" w:eastAsia="Sorts Mill Goudy" w:hAnsi="Sorts Mill Goudy" w:cs="Sorts Mill Goudy"/>
        <w:color w:val="000000"/>
        <w:sz w:val="24"/>
        <w:szCs w:val="24"/>
      </w:rPr>
      <w:fldChar w:fldCharType="separate"/>
    </w:r>
    <w:r>
      <w:rPr>
        <w:rFonts w:ascii="Sorts Mill Goudy" w:eastAsia="Sorts Mill Goudy" w:hAnsi="Sorts Mill Goudy" w:cs="Sorts Mill Goudy"/>
        <w:color w:val="000000"/>
        <w:sz w:val="24"/>
        <w:szCs w:val="24"/>
      </w:rPr>
      <w:fldChar w:fldCharType="end"/>
    </w:r>
  </w:p>
  <w:p w14:paraId="132CDAB6" w14:textId="77777777" w:rsidR="005A3AEC" w:rsidRDefault="005A3AEC">
    <w:pPr>
      <w:pBdr>
        <w:top w:val="nil"/>
        <w:left w:val="nil"/>
        <w:bottom w:val="nil"/>
        <w:right w:val="nil"/>
        <w:between w:val="nil"/>
      </w:pBdr>
      <w:tabs>
        <w:tab w:val="center" w:pos="4513"/>
        <w:tab w:val="right" w:pos="9026"/>
      </w:tabs>
      <w:spacing w:after="0" w:line="240" w:lineRule="auto"/>
      <w:jc w:val="center"/>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2B75C" w14:textId="77777777" w:rsidR="00A8111F" w:rsidRDefault="00A8111F">
      <w:pPr>
        <w:spacing w:after="0" w:line="240" w:lineRule="auto"/>
      </w:pPr>
      <w:r>
        <w:separator/>
      </w:r>
    </w:p>
  </w:footnote>
  <w:footnote w:type="continuationSeparator" w:id="0">
    <w:p w14:paraId="756B0659" w14:textId="77777777" w:rsidR="00A8111F" w:rsidRDefault="00A81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77A2" w14:textId="77777777" w:rsidR="001811A2" w:rsidRDefault="001811A2" w:rsidP="001811A2">
    <w:pPr>
      <w:spacing w:after="240"/>
      <w:jc w:val="right"/>
      <w:rPr>
        <w:rFonts w:ascii="Book Antiqua" w:hAnsi="Book Antiqua"/>
        <w:sz w:val="20"/>
        <w:szCs w:val="20"/>
      </w:rPr>
    </w:pPr>
    <w:r w:rsidRPr="001303AD">
      <w:rPr>
        <w:rFonts w:ascii="Book Antiqua" w:hAnsi="Book Antiqua"/>
        <w:sz w:val="20"/>
        <w:szCs w:val="20"/>
      </w:rPr>
      <w:t>(</w:t>
    </w:r>
    <w:r>
      <w:rPr>
        <w:rFonts w:ascii="Book Antiqua" w:hAnsi="Book Antiqua"/>
        <w:sz w:val="20"/>
        <w:szCs w:val="20"/>
      </w:rPr>
      <w:t xml:space="preserve">Nurul </w:t>
    </w:r>
    <w:proofErr w:type="spellStart"/>
    <w:r>
      <w:rPr>
        <w:rFonts w:ascii="Book Antiqua" w:hAnsi="Book Antiqua"/>
        <w:sz w:val="20"/>
        <w:szCs w:val="20"/>
      </w:rPr>
      <w:t>Ittaqullah</w:t>
    </w:r>
    <w:proofErr w:type="spellEnd"/>
    <w:r w:rsidRPr="001303AD">
      <w:rPr>
        <w:rFonts w:ascii="Book Antiqua" w:hAnsi="Book Antiqua"/>
        <w:sz w:val="20"/>
        <w:szCs w:val="20"/>
      </w:rPr>
      <w:t>)</w:t>
    </w:r>
  </w:p>
  <w:p w14:paraId="27189B6A" w14:textId="4A520EB0" w:rsidR="005A3AEC" w:rsidRDefault="00000000">
    <w:pPr>
      <w:spacing w:line="240" w:lineRule="auto"/>
      <w:jc w:val="right"/>
      <w:rPr>
        <w:rFonts w:ascii="Book Antiqua" w:eastAsia="Book Antiqua" w:hAnsi="Book Antiqua" w:cs="Book Antiqua"/>
      </w:rPr>
    </w:pPr>
    <w:r>
      <w:rPr>
        <w:noProof/>
      </w:rPr>
      <mc:AlternateContent>
        <mc:Choice Requires="wps">
          <w:drawing>
            <wp:anchor distT="0" distB="0" distL="114300" distR="114300" simplePos="0" relativeHeight="251660288" behindDoc="0" locked="0" layoutInCell="1" hidden="0" allowOverlap="1" wp14:anchorId="60172DB9" wp14:editId="7441F602">
              <wp:simplePos x="0" y="0"/>
              <wp:positionH relativeFrom="column">
                <wp:posOffset>-32384</wp:posOffset>
              </wp:positionH>
              <wp:positionV relativeFrom="paragraph">
                <wp:posOffset>675005</wp:posOffset>
              </wp:positionV>
              <wp:extent cx="0" cy="12700"/>
              <wp:effectExtent l="0" t="0" r="0" b="0"/>
              <wp:wrapNone/>
              <wp:docPr id="1432219390" name="Straight Arrow Connector 1432219390"/>
              <wp:cNvGraphicFramePr/>
              <a:graphic xmlns:a="http://schemas.openxmlformats.org/drawingml/2006/main">
                <a:graphicData uri="http://schemas.microsoft.com/office/word/2010/wordprocessingShape">
                  <wps:wsp>
                    <wps:cNvCnPr/>
                    <wps:spPr>
                      <a:xfrm>
                        <a:off x="2463100" y="3780000"/>
                        <a:ext cx="5765800" cy="0"/>
                      </a:xfrm>
                      <a:prstGeom prst="straightConnector1">
                        <a:avLst/>
                      </a:prstGeom>
                      <a:noFill/>
                      <a:ln w="12700" cap="flat" cmpd="sng">
                        <a:solidFill>
                          <a:srgbClr val="002060"/>
                        </a:solidFill>
                        <a:prstDash val="solid"/>
                        <a:round/>
                        <a:headEnd type="none" w="sm" len="sm"/>
                        <a:tailEnd type="none" w="sm" len="sm"/>
                      </a:ln>
                    </wps:spPr>
                    <wps:bodyPr/>
                  </wps:wsp>
                </a:graphicData>
              </a:graphic>
            </wp:anchor>
          </w:drawing>
        </mc:Choice>
        <mc:Fallback xmlns:w16du="http://schemas.microsoft.com/office/word/2023/wordml/word16du"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-32384</wp:posOffset>
              </wp:positionH>
              <wp:positionV relativeFrom="paragraph">
                <wp:posOffset>675005</wp:posOffset>
              </wp:positionV>
              <wp:extent cx="0" cy="12700"/>
              <wp:effectExtent b="0" l="0" r="0" t="0"/>
              <wp:wrapNone/>
              <wp:docPr id="143221939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21DE" w14:textId="77777777" w:rsidR="00174A14" w:rsidRDefault="00174A14" w:rsidP="00174A14">
    <w:pPr>
      <w:spacing w:after="240"/>
      <w:jc w:val="right"/>
      <w:rPr>
        <w:rFonts w:ascii="Book Antiqua" w:hAnsi="Book Antiqua"/>
        <w:sz w:val="20"/>
        <w:szCs w:val="20"/>
      </w:rPr>
    </w:pPr>
    <w:r w:rsidRPr="001303AD">
      <w:rPr>
        <w:rFonts w:ascii="Book Antiqua" w:hAnsi="Book Antiqua"/>
        <w:sz w:val="20"/>
        <w:szCs w:val="20"/>
      </w:rPr>
      <w:t>(</w:t>
    </w:r>
    <w:r>
      <w:rPr>
        <w:rFonts w:ascii="Book Antiqua" w:hAnsi="Book Antiqua"/>
        <w:sz w:val="20"/>
        <w:szCs w:val="20"/>
      </w:rPr>
      <w:t xml:space="preserve">Nurul </w:t>
    </w:r>
    <w:proofErr w:type="spellStart"/>
    <w:r>
      <w:rPr>
        <w:rFonts w:ascii="Book Antiqua" w:hAnsi="Book Antiqua"/>
        <w:sz w:val="20"/>
        <w:szCs w:val="20"/>
      </w:rPr>
      <w:t>Ittaqullah</w:t>
    </w:r>
    <w:proofErr w:type="spellEnd"/>
    <w:r w:rsidRPr="001303AD">
      <w:rPr>
        <w:rFonts w:ascii="Book Antiqua" w:hAnsi="Book Antiqua"/>
        <w:sz w:val="20"/>
        <w:szCs w:val="20"/>
      </w:rPr>
      <w:t>)</w:t>
    </w:r>
  </w:p>
  <w:p w14:paraId="433DFC51" w14:textId="44CD8949" w:rsidR="00174A14" w:rsidRPr="0011076A" w:rsidRDefault="00174A14" w:rsidP="00174A14">
    <w:pPr>
      <w:pStyle w:val="Header"/>
      <w:jc w:val="right"/>
      <w:rPr>
        <w:rFonts w:ascii="Goudy Old Style" w:hAnsi="Goudy Old Style"/>
        <w:b/>
        <w:noProof/>
        <w:lang w:val="id-ID"/>
      </w:rPr>
    </w:pPr>
    <w:r w:rsidRPr="0011076A">
      <w:rPr>
        <w:rFonts w:ascii="Goudy Old Style" w:hAnsi="Goudy Old Style"/>
        <w:b/>
        <w:noProof/>
        <w:lang w:val="id-ID"/>
      </w:rPr>
      <mc:AlternateContent>
        <mc:Choice Requires="wps">
          <w:drawing>
            <wp:anchor distT="0" distB="0" distL="114300" distR="114300" simplePos="0" relativeHeight="251666432" behindDoc="0" locked="0" layoutInCell="1" allowOverlap="1" wp14:anchorId="624B0DAE" wp14:editId="7458A8E5">
              <wp:simplePos x="0" y="0"/>
              <wp:positionH relativeFrom="column">
                <wp:posOffset>5087620</wp:posOffset>
              </wp:positionH>
              <wp:positionV relativeFrom="paragraph">
                <wp:posOffset>172720</wp:posOffset>
              </wp:positionV>
              <wp:extent cx="88900" cy="228600"/>
              <wp:effectExtent l="0" t="0" r="12700" b="12700"/>
              <wp:wrapNone/>
              <wp:docPr id="627588452" name="Persegi Lengkung 1"/>
              <wp:cNvGraphicFramePr/>
              <a:graphic xmlns:a="http://schemas.openxmlformats.org/drawingml/2006/main">
                <a:graphicData uri="http://schemas.microsoft.com/office/word/2010/wordprocessingShape">
                  <wps:wsp>
                    <wps:cNvSpPr/>
                    <wps:spPr>
                      <a:xfrm>
                        <a:off x="0" y="0"/>
                        <a:ext cx="88900" cy="228600"/>
                      </a:xfrm>
                      <a:prstGeom prst="round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BF2C5D" id="Persegi Lengkung 1" o:spid="_x0000_s1026" style="position:absolute;margin-left:400.6pt;margin-top:13.6pt;width:7pt;height:18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" fillcolor="white [3212]" strokecolor="white [3212]" strokeweight="2pt"/>
          </w:pict>
        </mc:Fallback>
      </mc:AlternateContent>
    </w:r>
    <w:r w:rsidRPr="0011076A">
      <w:rPr>
        <w:rFonts w:ascii="Goudy Old Style" w:hAnsi="Goudy Old Style"/>
        <w:noProof/>
        <w:lang w:val="id-ID"/>
      </w:rPr>
      <w:drawing>
        <wp:anchor distT="0" distB="0" distL="114300" distR="114300" simplePos="0" relativeHeight="251665408" behindDoc="1" locked="0" layoutInCell="1" allowOverlap="1" wp14:anchorId="08544D7C" wp14:editId="252D3DEE">
          <wp:simplePos x="0" y="0"/>
          <wp:positionH relativeFrom="margin">
            <wp:posOffset>4993640</wp:posOffset>
          </wp:positionH>
          <wp:positionV relativeFrom="paragraph">
            <wp:posOffset>10795</wp:posOffset>
          </wp:positionV>
          <wp:extent cx="774065" cy="682625"/>
          <wp:effectExtent l="0" t="0" r="635" b="3175"/>
          <wp:wrapTight wrapText="bothSides">
            <wp:wrapPolygon edited="0">
              <wp:start x="0" y="0"/>
              <wp:lineTo x="0" y="21299"/>
              <wp:lineTo x="21263" y="21299"/>
              <wp:lineTo x="21263" y="0"/>
              <wp:lineTo x="0" y="0"/>
            </wp:wrapPolygon>
          </wp:wrapTight>
          <wp:docPr id="11749862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14677" name="Picture 413014677"/>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774065" cy="682625"/>
                  </a:xfrm>
                  <a:prstGeom prst="rect">
                    <a:avLst/>
                  </a:prstGeom>
                </pic:spPr>
              </pic:pic>
            </a:graphicData>
          </a:graphic>
          <wp14:sizeRelH relativeFrom="margin">
            <wp14:pctWidth>0</wp14:pctWidth>
          </wp14:sizeRelH>
          <wp14:sizeRelV relativeFrom="margin">
            <wp14:pctHeight>0</wp14:pctHeight>
          </wp14:sizeRelV>
        </wp:anchor>
      </w:drawing>
    </w:r>
    <w:r w:rsidRPr="0011076A">
      <w:rPr>
        <w:rFonts w:ascii="Goudy Old Style" w:hAnsi="Goudy Old Style"/>
        <w:b/>
        <w:noProof/>
        <w:lang w:val="id-ID"/>
      </w:rPr>
      <w:t xml:space="preserve">----Vol. 2, No. </w:t>
    </w:r>
    <w:r>
      <w:rPr>
        <w:rFonts w:ascii="Goudy Old Style" w:hAnsi="Goudy Old Style"/>
        <w:b/>
        <w:noProof/>
      </w:rPr>
      <w:t>1</w:t>
    </w:r>
    <w:r w:rsidRPr="0011076A">
      <w:rPr>
        <w:rFonts w:ascii="Goudy Old Style" w:hAnsi="Goudy Old Style"/>
        <w:b/>
        <w:noProof/>
        <w:lang w:val="id-ID"/>
      </w:rPr>
      <w:t>, Year 2026, pp.</w:t>
    </w:r>
    <w:r>
      <w:rPr>
        <w:rFonts w:ascii="Goudy Old Style" w:hAnsi="Goudy Old Style"/>
        <w:b/>
        <w:noProof/>
      </w:rPr>
      <w:t>110</w:t>
    </w:r>
    <w:r w:rsidRPr="0011076A">
      <w:rPr>
        <w:rFonts w:ascii="Goudy Old Style" w:hAnsi="Goudy Old Style"/>
        <w:b/>
        <w:noProof/>
        <w:lang w:val="id-ID"/>
      </w:rPr>
      <w:t>-</w:t>
    </w:r>
    <w:r>
      <w:rPr>
        <w:rFonts w:ascii="Goudy Old Style" w:hAnsi="Goudy Old Style"/>
        <w:b/>
        <w:noProof/>
      </w:rPr>
      <w:t>122</w:t>
    </w:r>
    <w:r w:rsidRPr="0011076A">
      <w:rPr>
        <w:rFonts w:ascii="Goudy Old Style" w:hAnsi="Goudy Old Style"/>
        <w:b/>
        <w:noProof/>
        <w:lang w:val="id-ID"/>
      </w:rPr>
      <w:t>----</w:t>
    </w:r>
  </w:p>
  <w:p w14:paraId="3C0591E2" w14:textId="77777777" w:rsidR="00174A14" w:rsidRPr="0011076A" w:rsidRDefault="00174A14" w:rsidP="00174A14">
    <w:pPr>
      <w:pStyle w:val="Header"/>
      <w:jc w:val="right"/>
      <w:rPr>
        <w:rFonts w:ascii="Goudy Old Style" w:hAnsi="Goudy Old Style"/>
        <w:b/>
        <w:noProof/>
        <w:lang w:val="id-ID"/>
      </w:rPr>
    </w:pPr>
    <w:r w:rsidRPr="0011076A">
      <w:rPr>
        <w:rFonts w:ascii="Goudy Old Style" w:hAnsi="Goudy Old Style"/>
        <w:b/>
        <w:noProof/>
        <w:lang w:val="id-ID"/>
      </w:rPr>
      <w:t xml:space="preserve">https://e-journal.epistemeacademia.org/index.php/IJISSH/index </w:t>
    </w:r>
  </w:p>
  <w:p w14:paraId="3CBA6F82" w14:textId="77777777" w:rsidR="00174A14" w:rsidRPr="0011076A" w:rsidRDefault="00174A14" w:rsidP="00174A14">
    <w:pPr>
      <w:pStyle w:val="Header"/>
      <w:jc w:val="right"/>
      <w:rPr>
        <w:rFonts w:ascii="Goudy Old Style" w:hAnsi="Goudy Old Style"/>
        <w:b/>
        <w:noProof/>
        <w:lang w:val="id-ID"/>
      </w:rPr>
    </w:pPr>
    <w:r w:rsidRPr="0011076A">
      <w:rPr>
        <w:rFonts w:ascii="Goudy Old Style" w:hAnsi="Goudy Old Style"/>
        <w:b/>
        <w:noProof/>
        <w:lang w:val="id-ID"/>
      </w:rPr>
      <w:t>e-ISSN: 3124-1824</w:t>
    </w:r>
  </w:p>
  <w:p w14:paraId="575490FD" w14:textId="77777777" w:rsidR="00174A14" w:rsidRPr="0024355D" w:rsidRDefault="00174A14" w:rsidP="00174A14">
    <w:pPr>
      <w:pStyle w:val="Header"/>
      <w:spacing w:after="240"/>
      <w:jc w:val="right"/>
      <w:rPr>
        <w:rFonts w:ascii="Goudy Old Style" w:hAnsi="Goudy Old Style"/>
        <w:b/>
        <w:noProof/>
        <w:color w:val="0000FF"/>
        <w:u w:val="single"/>
      </w:rPr>
    </w:pPr>
    <w:r w:rsidRPr="0011076A">
      <w:rPr>
        <w:rFonts w:ascii="Goudy Old Style" w:hAnsi="Goudy Old Style"/>
        <w:b/>
        <w:noProof/>
        <w:lang w:val="id-ID"/>
      </w:rPr>
      <w:t>DOI:  </w:t>
    </w:r>
    <w:hyperlink r:id="rId3" w:history="1">
      <w:r w:rsidRPr="00C568D6">
        <w:rPr>
          <w:rStyle w:val="Hyperlink"/>
          <w:rFonts w:ascii="Goudy Old Style" w:hAnsi="Goudy Old Style"/>
          <w:b/>
          <w:noProof/>
          <w:lang w:val="id-ID"/>
        </w:rPr>
        <w:t>https://doi.org/10.XXXXX/</w:t>
      </w:r>
    </w:hyperlink>
    <w:r>
      <w:rPr>
        <w:rFonts w:ascii="Goudy Old Style" w:hAnsi="Goudy Old Style"/>
        <w:b/>
        <w:noProof/>
        <w:color w:val="0000FF"/>
        <w:u w:val="single"/>
      </w:rPr>
      <w:t xml:space="preserve"> </w:t>
    </w:r>
    <w:r>
      <w:rPr>
        <w:noProof/>
      </w:rPr>
      <mc:AlternateContent>
        <mc:Choice Requires="wps">
          <w:drawing>
            <wp:anchor distT="0" distB="0" distL="114300" distR="114300" simplePos="0" relativeHeight="251664384" behindDoc="0" locked="0" layoutInCell="1" hidden="0" allowOverlap="1" wp14:anchorId="53AD898F" wp14:editId="43831255">
              <wp:simplePos x="0" y="0"/>
              <wp:positionH relativeFrom="column">
                <wp:posOffset>-32384</wp:posOffset>
              </wp:positionH>
              <wp:positionV relativeFrom="paragraph">
                <wp:posOffset>675005</wp:posOffset>
              </wp:positionV>
              <wp:extent cx="0" cy="12700"/>
              <wp:effectExtent l="0" t="0" r="0" b="0"/>
              <wp:wrapNone/>
              <wp:docPr id="262965079" name="Straight Arrow Connector 1432219390"/>
              <wp:cNvGraphicFramePr/>
              <a:graphic xmlns:a="http://schemas.openxmlformats.org/drawingml/2006/main">
                <a:graphicData uri="http://schemas.microsoft.com/office/word/2010/wordprocessingShape">
                  <wps:wsp>
                    <wps:cNvCnPr/>
                    <wps:spPr>
                      <a:xfrm>
                        <a:off x="2463100" y="3780000"/>
                        <a:ext cx="5765800" cy="0"/>
                      </a:xfrm>
                      <a:prstGeom prst="straightConnector1">
                        <a:avLst/>
                      </a:prstGeom>
                      <a:noFill/>
                      <a:ln w="12700" cap="flat" cmpd="sng">
                        <a:solidFill>
                          <a:srgbClr val="002060"/>
                        </a:solidFill>
                        <a:prstDash val="solid"/>
                        <a:round/>
                        <a:headEnd type="none" w="sm" len="sm"/>
                        <a:tailEnd type="none" w="sm" len="sm"/>
                      </a:ln>
                    </wps:spPr>
                    <wps:bodyPr/>
                  </wps:wsp>
                </a:graphicData>
              </a:graphic>
            </wp:anchor>
          </w:drawing>
        </mc:Choice>
        <mc:Fallback>
          <w:pict>
            <v:shapetype w14:anchorId="162FE3B3" id="_x0000_t32" coordsize="21600,21600" o:spt="32" o:oned="t" path="m,l21600,21600e" filled="f">
              <v:path arrowok="t" fillok="f" o:connecttype="none"/>
              <o:lock v:ext="edit" shapetype="t"/>
            </v:shapetype>
            <v:shape id="Straight Arrow Connector 1432219390" o:spid="_x0000_s1026" type="#_x0000_t32" style="position:absolute;margin-left:-2.55pt;margin-top:53.15pt;width:0;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" strokecolor="#002060" strokeweight="1pt">
              <v:stroke startarrowwidth="narrow" startarrowlength="short" endarrowwidth="narrow" endarrowlength="short"/>
            </v:shape>
          </w:pict>
        </mc:Fallback>
      </mc:AlternateContent>
    </w:r>
  </w:p>
  <w:p w14:paraId="6B515D6F" w14:textId="77777777" w:rsidR="005A3AEC" w:rsidRDefault="00000000">
    <w:pPr>
      <w:pBdr>
        <w:top w:val="nil"/>
        <w:left w:val="nil"/>
        <w:bottom w:val="nil"/>
        <w:right w:val="nil"/>
        <w:between w:val="nil"/>
      </w:pBdr>
      <w:tabs>
        <w:tab w:val="center" w:pos="4513"/>
        <w:tab w:val="right" w:pos="9026"/>
      </w:tabs>
      <w:spacing w:after="0" w:line="240" w:lineRule="auto"/>
      <w:jc w:val="right"/>
      <w:rPr>
        <w:color w:val="000000"/>
      </w:rPr>
    </w:pPr>
    <w:r>
      <w:rPr>
        <w:rFonts w:ascii="Sorts Mill Goudy" w:eastAsia="Sorts Mill Goudy" w:hAnsi="Sorts Mill Goudy" w:cs="Sorts Mill Goudy"/>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D1A22" w14:textId="77777777" w:rsidR="005A3AEC" w:rsidRDefault="00000000">
    <w:pPr>
      <w:pBdr>
        <w:top w:val="nil"/>
        <w:left w:val="nil"/>
        <w:bottom w:val="nil"/>
        <w:right w:val="nil"/>
        <w:between w:val="nil"/>
      </w:pBdr>
      <w:tabs>
        <w:tab w:val="center" w:pos="4513"/>
        <w:tab w:val="right" w:pos="9026"/>
      </w:tabs>
      <w:spacing w:after="0" w:line="240" w:lineRule="auto"/>
      <w:rPr>
        <w:b/>
        <w:bCs/>
        <w:color w:val="000000"/>
      </w:rPr>
    </w:pPr>
    <w:r>
      <w:rPr>
        <w:b/>
        <w:bCs/>
        <w:color w:val="000000"/>
      </w:rPr>
      <w:t xml:space="preserve">----Vol. XX, No. XX, Year XXXX, </w:t>
    </w:r>
    <w:proofErr w:type="spellStart"/>
    <w:r>
      <w:rPr>
        <w:b/>
        <w:bCs/>
        <w:color w:val="000000"/>
      </w:rPr>
      <w:t>pp.xxx</w:t>
    </w:r>
    <w:proofErr w:type="spellEnd"/>
    <w:r>
      <w:rPr>
        <w:b/>
        <w:bCs/>
        <w:color w:val="000000"/>
      </w:rPr>
      <w:t>-xxx ----https://jurnal.unismabekasi.ac.id/index.php/paradigma</w:t>
    </w:r>
    <w:r>
      <w:rPr>
        <w:noProof/>
      </w:rPr>
      <w:drawing>
        <wp:anchor distT="0" distB="0" distL="114300" distR="114300" simplePos="0" relativeHeight="251659264" behindDoc="0" locked="0" layoutInCell="1" hidden="0" allowOverlap="1" wp14:anchorId="699A625D" wp14:editId="62BC7A2D">
          <wp:simplePos x="0" y="0"/>
          <wp:positionH relativeFrom="column">
            <wp:posOffset>-185419</wp:posOffset>
          </wp:positionH>
          <wp:positionV relativeFrom="paragraph">
            <wp:posOffset>5715</wp:posOffset>
          </wp:positionV>
          <wp:extent cx="932831" cy="823135"/>
          <wp:effectExtent l="0" t="0" r="0" b="0"/>
          <wp:wrapSquare wrapText="bothSides" distT="0" distB="0" distL="114300" distR="114300"/>
          <wp:docPr id="143221939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32831" cy="823135"/>
                  </a:xfrm>
                  <a:prstGeom prst="rect">
                    <a:avLst/>
                  </a:prstGeom>
                  <a:ln/>
                </pic:spPr>
              </pic:pic>
            </a:graphicData>
          </a:graphic>
        </wp:anchor>
      </w:drawing>
    </w:r>
  </w:p>
  <w:p w14:paraId="4C406F21" w14:textId="77777777" w:rsidR="005A3AEC" w:rsidRDefault="00000000">
    <w:pPr>
      <w:pBdr>
        <w:top w:val="nil"/>
        <w:left w:val="nil"/>
        <w:bottom w:val="nil"/>
        <w:right w:val="nil"/>
        <w:between w:val="nil"/>
      </w:pBdr>
      <w:tabs>
        <w:tab w:val="center" w:pos="4513"/>
        <w:tab w:val="right" w:pos="9026"/>
      </w:tabs>
      <w:spacing w:after="0" w:line="240" w:lineRule="auto"/>
      <w:rPr>
        <w:b/>
        <w:bCs/>
        <w:color w:val="000000"/>
      </w:rPr>
    </w:pPr>
    <w:r>
      <w:rPr>
        <w:b/>
        <w:bCs/>
        <w:color w:val="000000"/>
      </w:rPr>
      <w:t xml:space="preserve">e-ISSN: XXXX-XXXX, p-ISSN: XXXX-XXXX </w:t>
    </w:r>
  </w:p>
  <w:p w14:paraId="5EF42A97" w14:textId="77777777" w:rsidR="005A3AEC" w:rsidRDefault="00000000">
    <w:pPr>
      <w:pBdr>
        <w:top w:val="nil"/>
        <w:left w:val="nil"/>
        <w:bottom w:val="nil"/>
        <w:right w:val="nil"/>
        <w:between w:val="nil"/>
      </w:pBdr>
      <w:tabs>
        <w:tab w:val="center" w:pos="4513"/>
        <w:tab w:val="right" w:pos="9026"/>
      </w:tabs>
      <w:spacing w:after="0" w:line="240" w:lineRule="auto"/>
      <w:rPr>
        <w:color w:val="000000"/>
      </w:rPr>
    </w:pPr>
    <w:r>
      <w:rPr>
        <w:b/>
        <w:bCs/>
        <w:color w:val="000000"/>
      </w:rPr>
      <w:t>DOI:  </w:t>
    </w:r>
    <w:hyperlink r:id="rId2">
      <w:r>
        <w:rPr>
          <w:b/>
          <w:bCs/>
          <w:color w:val="0000FF"/>
          <w:u w:val="single"/>
        </w:rPr>
        <w:t>https://doi.org/10.XXXX/IJISSH</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16DBF"/>
    <w:multiLevelType w:val="multilevel"/>
    <w:tmpl w:val="811807D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D2689B"/>
    <w:multiLevelType w:val="multilevel"/>
    <w:tmpl w:val="8266E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413EB5"/>
    <w:multiLevelType w:val="multilevel"/>
    <w:tmpl w:val="E5E66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A1004B"/>
    <w:multiLevelType w:val="multilevel"/>
    <w:tmpl w:val="E19E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0514333">
    <w:abstractNumId w:val="1"/>
  </w:num>
  <w:num w:numId="2" w16cid:durableId="585924374">
    <w:abstractNumId w:val="3"/>
  </w:num>
  <w:num w:numId="3" w16cid:durableId="1510561390">
    <w:abstractNumId w:val="2"/>
  </w:num>
  <w:num w:numId="4" w16cid:durableId="1959095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AEC"/>
    <w:rsid w:val="00174A14"/>
    <w:rsid w:val="001811A2"/>
    <w:rsid w:val="00323ACB"/>
    <w:rsid w:val="004647B1"/>
    <w:rsid w:val="004D29F5"/>
    <w:rsid w:val="005A3AEC"/>
    <w:rsid w:val="005C3300"/>
    <w:rsid w:val="00812EDC"/>
    <w:rsid w:val="00A8111F"/>
    <w:rsid w:val="00C225FB"/>
    <w:rsid w:val="00C53137"/>
    <w:rsid w:val="00C61CFD"/>
    <w:rsid w:val="00D8636B"/>
    <w:rsid w:val="00DF38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F1182"/>
  <w15:docId w15:val="{CA361AF0-5C9B-4260-9949-22AD57C58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pPr>
      <w:keepNext/>
      <w:spacing w:before="240" w:after="60"/>
      <w:outlineLvl w:val="0"/>
    </w:pPr>
    <w:rPr>
      <w:rFonts w:ascii="Cambria" w:eastAsia="Cambria" w:hAnsi="Cambria" w:cs="Cambria"/>
      <w:b/>
      <w:bCs/>
      <w:sz w:val="32"/>
      <w:szCs w:val="32"/>
    </w:rPr>
  </w:style>
  <w:style w:type="paragraph" w:styleId="Judul2">
    <w:name w:val="heading 2"/>
    <w:basedOn w:val="Normal"/>
    <w:next w:val="Normal"/>
    <w:link w:val="Judul2KAR"/>
    <w:uiPriority w:val="9"/>
    <w:semiHidden/>
    <w:unhideWhenUsed/>
    <w:qFormat/>
    <w:pPr>
      <w:keepNext/>
      <w:spacing w:before="240" w:after="60"/>
      <w:outlineLvl w:val="1"/>
    </w:pPr>
    <w:rPr>
      <w:rFonts w:ascii="Cambria" w:eastAsia="Cambria" w:hAnsi="Cambria" w:cs="Cambria"/>
      <w:b/>
      <w:bCs/>
      <w:i/>
      <w:iCs/>
      <w:sz w:val="28"/>
      <w:szCs w:val="28"/>
    </w:rPr>
  </w:style>
  <w:style w:type="paragraph" w:styleId="Judul3">
    <w:name w:val="heading 3"/>
    <w:basedOn w:val="Normal"/>
    <w:next w:val="Normal"/>
    <w:link w:val="Judul3KAR"/>
    <w:uiPriority w:val="9"/>
    <w:semiHidden/>
    <w:unhideWhenUsed/>
    <w:qFormat/>
    <w:pPr>
      <w:keepNext/>
      <w:spacing w:before="240" w:after="60"/>
      <w:outlineLvl w:val="2"/>
    </w:pPr>
    <w:rPr>
      <w:rFonts w:ascii="Cambria" w:eastAsia="Cambria" w:hAnsi="Cambria" w:cs="Cambria"/>
      <w:b/>
      <w:bCs/>
      <w:sz w:val="26"/>
      <w:szCs w:val="26"/>
    </w:rPr>
  </w:style>
  <w:style w:type="paragraph" w:styleId="Judul4">
    <w:name w:val="heading 4"/>
    <w:basedOn w:val="Normal"/>
    <w:next w:val="Normal"/>
    <w:link w:val="Judul4KAR"/>
    <w:uiPriority w:val="9"/>
    <w:semiHidden/>
    <w:unhideWhenUsed/>
    <w:qFormat/>
    <w:pPr>
      <w:keepNext/>
      <w:spacing w:before="240" w:after="60"/>
      <w:outlineLvl w:val="3"/>
    </w:pPr>
    <w:rPr>
      <w:b/>
      <w:bCs/>
      <w:sz w:val="28"/>
      <w:szCs w:val="28"/>
    </w:rPr>
  </w:style>
  <w:style w:type="paragraph" w:styleId="Judul5">
    <w:name w:val="heading 5"/>
    <w:basedOn w:val="Normal"/>
    <w:next w:val="Normal"/>
    <w:link w:val="Judul5KAR"/>
    <w:uiPriority w:val="9"/>
    <w:semiHidden/>
    <w:unhideWhenUsed/>
    <w:qFormat/>
    <w:pPr>
      <w:spacing w:before="240" w:after="60"/>
      <w:outlineLvl w:val="4"/>
    </w:pPr>
    <w:rPr>
      <w:b/>
      <w:bCs/>
      <w:i/>
      <w:iCs/>
      <w:sz w:val="26"/>
      <w:szCs w:val="26"/>
    </w:rPr>
  </w:style>
  <w:style w:type="paragraph" w:styleId="Judul6">
    <w:name w:val="heading 6"/>
    <w:basedOn w:val="Normal"/>
    <w:next w:val="Normal"/>
    <w:link w:val="Judul6KAR"/>
    <w:uiPriority w:val="9"/>
    <w:semiHidden/>
    <w:unhideWhenUsed/>
    <w:qFormat/>
    <w:pPr>
      <w:spacing w:before="240" w:after="60"/>
      <w:outlineLvl w:val="5"/>
    </w:pPr>
    <w:rPr>
      <w:b/>
      <w:bCs/>
    </w:rPr>
  </w:style>
  <w:style w:type="paragraph" w:styleId="Judul7">
    <w:name w:val="heading 7"/>
    <w:basedOn w:val="Normal"/>
    <w:next w:val="Normal"/>
    <w:link w:val="Judul7KAR"/>
    <w:uiPriority w:val="9"/>
    <w:unhideWhenUsed/>
    <w:qFormat/>
    <w:pPr>
      <w:spacing w:before="240" w:after="60"/>
      <w:outlineLvl w:val="6"/>
    </w:pPr>
    <w:rPr>
      <w:sz w:val="24"/>
      <w:szCs w:val="24"/>
    </w:rPr>
  </w:style>
  <w:style w:type="paragraph" w:styleId="Judul8">
    <w:name w:val="heading 8"/>
    <w:basedOn w:val="Normal"/>
    <w:next w:val="Normal"/>
    <w:link w:val="Judul8KAR"/>
    <w:uiPriority w:val="9"/>
    <w:unhideWhenUsed/>
    <w:qFormat/>
    <w:pPr>
      <w:spacing w:before="240" w:after="60"/>
      <w:outlineLvl w:val="7"/>
    </w:pPr>
    <w:rPr>
      <w:i/>
      <w:iCs/>
      <w:sz w:val="24"/>
      <w:szCs w:val="24"/>
    </w:rPr>
  </w:style>
  <w:style w:type="paragraph" w:styleId="Judul9">
    <w:name w:val="heading 9"/>
    <w:basedOn w:val="Normal"/>
    <w:next w:val="Normal"/>
    <w:link w:val="Judul9KAR"/>
    <w:uiPriority w:val="9"/>
    <w:unhideWhenUsed/>
    <w:qFormat/>
    <w:pPr>
      <w:spacing w:before="240" w:after="60"/>
      <w:outlineLvl w:val="8"/>
    </w:pPr>
    <w:rPr>
      <w:rFonts w:ascii="Cambria" w:hAnsi="Cambri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link w:val="JudulKAR"/>
    <w:uiPriority w:val="10"/>
    <w:qFormat/>
    <w:pPr>
      <w:spacing w:before="240" w:after="60"/>
      <w:jc w:val="center"/>
    </w:pPr>
    <w:rPr>
      <w:rFonts w:ascii="Cambria" w:eastAsia="Cambria" w:hAnsi="Cambria" w:cs="Cambria"/>
      <w:b/>
      <w:bCs/>
      <w:sz w:val="32"/>
      <w:szCs w:val="32"/>
    </w:rPr>
  </w:style>
  <w:style w:type="paragraph" w:styleId="TeksBalon">
    <w:name w:val="Balloon Text"/>
    <w:basedOn w:val="Normal"/>
    <w:link w:val="TeksBalonKAR"/>
    <w:uiPriority w:val="99"/>
    <w:unhideWhenUsed/>
    <w:pPr>
      <w:spacing w:after="0" w:line="240" w:lineRule="auto"/>
    </w:pPr>
    <w:rPr>
      <w:rFonts w:ascii="Tahoma" w:hAnsi="Tahoma" w:cs="Tahoma"/>
      <w:sz w:val="16"/>
      <w:szCs w:val="16"/>
    </w:rPr>
  </w:style>
  <w:style w:type="paragraph" w:styleId="TeksBlok">
    <w:name w:val="Block Text"/>
    <w:basedOn w:val="Normal"/>
    <w:uiPriority w:val="99"/>
    <w:unhideWhenUsed/>
    <w:pPr>
      <w:pBdr>
        <w:top w:val="single" w:sz="2" w:space="10" w:color="auto"/>
        <w:left w:val="single" w:sz="2" w:space="10" w:color="auto"/>
        <w:bottom w:val="single" w:sz="2" w:space="10" w:color="auto"/>
        <w:right w:val="single" w:sz="2" w:space="10" w:color="auto"/>
      </w:pBdr>
      <w:ind w:left="1152" w:right="1152"/>
    </w:pPr>
    <w:rPr>
      <w:i/>
      <w:iCs/>
    </w:rPr>
  </w:style>
  <w:style w:type="paragraph" w:styleId="TeksIsi">
    <w:name w:val="Body Text"/>
    <w:basedOn w:val="Normal"/>
    <w:link w:val="TeksIsiKAR"/>
    <w:uiPriority w:val="99"/>
    <w:unhideWhenUsed/>
    <w:pPr>
      <w:spacing w:after="120"/>
    </w:pPr>
  </w:style>
  <w:style w:type="paragraph" w:styleId="TeksIsi2">
    <w:name w:val="Body Text 2"/>
    <w:basedOn w:val="Normal"/>
    <w:link w:val="TeksIsi2KAR"/>
    <w:uiPriority w:val="99"/>
    <w:unhideWhenUsed/>
    <w:pPr>
      <w:spacing w:after="120" w:line="480" w:lineRule="auto"/>
    </w:pPr>
  </w:style>
  <w:style w:type="paragraph" w:styleId="TeksIsi3">
    <w:name w:val="Body Text 3"/>
    <w:basedOn w:val="Normal"/>
    <w:link w:val="TeksIsi3KAR"/>
    <w:uiPriority w:val="99"/>
    <w:unhideWhenUsed/>
    <w:pPr>
      <w:spacing w:after="120"/>
    </w:pPr>
    <w:rPr>
      <w:sz w:val="20"/>
      <w:szCs w:val="16"/>
    </w:rPr>
  </w:style>
  <w:style w:type="paragraph" w:styleId="IndenPertamaTeksIsi">
    <w:name w:val="Body Text First Indent"/>
    <w:basedOn w:val="TeksIsi"/>
    <w:link w:val="IndenPertamaTeksIsiKAR"/>
    <w:uiPriority w:val="99"/>
    <w:unhideWhenUsed/>
    <w:pPr>
      <w:spacing w:after="320"/>
      <w:ind w:firstLine="360"/>
    </w:pPr>
  </w:style>
  <w:style w:type="paragraph" w:styleId="IndenTeksIsi2">
    <w:name w:val="Body Text Indent 2"/>
    <w:basedOn w:val="Normal"/>
    <w:link w:val="IndenTeksIsi2KAR"/>
    <w:uiPriority w:val="99"/>
    <w:unhideWhenUsed/>
    <w:pPr>
      <w:spacing w:after="120" w:line="480" w:lineRule="auto"/>
      <w:ind w:left="283"/>
    </w:pPr>
  </w:style>
  <w:style w:type="paragraph" w:styleId="IndenTeksIsi3">
    <w:name w:val="Body Text Indent 3"/>
    <w:basedOn w:val="Normal"/>
    <w:link w:val="IndenTeksIsi3KAR"/>
    <w:uiPriority w:val="99"/>
    <w:unhideWhenUsed/>
    <w:pPr>
      <w:spacing w:after="120"/>
      <w:ind w:left="283"/>
    </w:pPr>
    <w:rPr>
      <w:sz w:val="20"/>
      <w:szCs w:val="16"/>
    </w:rPr>
  </w:style>
  <w:style w:type="paragraph" w:styleId="Keterangan">
    <w:name w:val="caption"/>
    <w:basedOn w:val="Normal"/>
    <w:next w:val="Normal"/>
    <w:uiPriority w:val="35"/>
    <w:unhideWhenUsed/>
    <w:qFormat/>
    <w:rPr>
      <w:b/>
      <w:bCs/>
      <w:sz w:val="20"/>
      <w:szCs w:val="20"/>
    </w:rPr>
  </w:style>
  <w:style w:type="paragraph" w:styleId="PetaDokumen">
    <w:name w:val="Document Map"/>
    <w:basedOn w:val="Normal"/>
    <w:link w:val="PetaDokumenKAR"/>
    <w:uiPriority w:val="99"/>
    <w:unhideWhenUsed/>
    <w:qFormat/>
    <w:pPr>
      <w:spacing w:line="240" w:lineRule="auto"/>
    </w:pPr>
    <w:rPr>
      <w:rFonts w:cs="Tahoma"/>
      <w:szCs w:val="16"/>
    </w:rPr>
  </w:style>
  <w:style w:type="paragraph" w:styleId="TeksCatatanAkhir">
    <w:name w:val="endnote text"/>
    <w:basedOn w:val="Normal"/>
    <w:link w:val="TeksCatatanAkhirKAR"/>
    <w:uiPriority w:val="99"/>
    <w:unhideWhenUsed/>
    <w:qFormat/>
    <w:pPr>
      <w:spacing w:line="240" w:lineRule="auto"/>
    </w:pPr>
    <w:rPr>
      <w:szCs w:val="20"/>
    </w:rPr>
  </w:style>
  <w:style w:type="paragraph" w:styleId="PengembalianAmplop">
    <w:name w:val="envelope return"/>
    <w:basedOn w:val="Normal"/>
    <w:uiPriority w:val="99"/>
    <w:unhideWhenUsed/>
    <w:qFormat/>
    <w:pPr>
      <w:spacing w:line="240" w:lineRule="auto"/>
    </w:pPr>
    <w:rPr>
      <w:szCs w:val="20"/>
    </w:rPr>
  </w:style>
  <w:style w:type="paragraph" w:styleId="Footer">
    <w:name w:val="footer"/>
    <w:basedOn w:val="Normal"/>
    <w:link w:val="FooterKAR"/>
    <w:uiPriority w:val="99"/>
    <w:unhideWhenUsed/>
    <w:qFormat/>
    <w:pPr>
      <w:tabs>
        <w:tab w:val="center" w:pos="4513"/>
        <w:tab w:val="right" w:pos="9026"/>
      </w:tabs>
      <w:spacing w:after="0" w:line="240" w:lineRule="auto"/>
    </w:pPr>
  </w:style>
  <w:style w:type="paragraph" w:styleId="Header">
    <w:name w:val="header"/>
    <w:basedOn w:val="Normal"/>
    <w:link w:val="HeaderKAR"/>
    <w:uiPriority w:val="99"/>
    <w:unhideWhenUsed/>
    <w:qFormat/>
    <w:pPr>
      <w:tabs>
        <w:tab w:val="center" w:pos="4513"/>
        <w:tab w:val="right" w:pos="9026"/>
      </w:tabs>
      <w:spacing w:after="0" w:line="240" w:lineRule="auto"/>
    </w:pPr>
  </w:style>
  <w:style w:type="paragraph" w:styleId="Indeks1">
    <w:name w:val="index 1"/>
    <w:basedOn w:val="Normal"/>
    <w:next w:val="Normal"/>
    <w:uiPriority w:val="99"/>
    <w:unhideWhenUsed/>
    <w:pPr>
      <w:spacing w:line="240" w:lineRule="auto"/>
      <w:ind w:left="240" w:hanging="240"/>
    </w:pPr>
  </w:style>
  <w:style w:type="paragraph" w:styleId="JudulIndeks">
    <w:name w:val="index heading"/>
    <w:basedOn w:val="Normal"/>
    <w:next w:val="Indeks1"/>
    <w:uiPriority w:val="99"/>
    <w:unhideWhenUsed/>
    <w:rPr>
      <w:b/>
      <w:bCs/>
    </w:rPr>
  </w:style>
  <w:style w:type="paragraph" w:styleId="PoinDaftar">
    <w:name w:val="List Bullet"/>
    <w:basedOn w:val="Normal"/>
    <w:uiPriority w:val="99"/>
    <w:unhideWhenUsed/>
    <w:pPr>
      <w:tabs>
        <w:tab w:val="left" w:pos="360"/>
      </w:tabs>
      <w:ind w:left="360" w:hanging="360"/>
      <w:contextualSpacing/>
    </w:pPr>
  </w:style>
  <w:style w:type="paragraph" w:styleId="NomorDaftar">
    <w:name w:val="List Number"/>
    <w:basedOn w:val="Normal"/>
    <w:uiPriority w:val="99"/>
    <w:unhideWhenUsed/>
    <w:pPr>
      <w:tabs>
        <w:tab w:val="left" w:pos="360"/>
      </w:tabs>
      <w:ind w:left="360" w:hanging="360"/>
      <w:contextualSpacing/>
    </w:pPr>
  </w:style>
  <w:style w:type="paragraph" w:styleId="HeaderPesan">
    <w:name w:val="Message Header"/>
    <w:basedOn w:val="Normal"/>
    <w:link w:val="HeaderPesanKAR"/>
    <w:uiPriority w:val="99"/>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style>
  <w:style w:type="paragraph" w:styleId="NormalWeb">
    <w:name w:val="Normal (Web)"/>
    <w:basedOn w:val="Normal"/>
    <w:uiPriority w:val="99"/>
    <w:unhideWhenUsed/>
  </w:style>
  <w:style w:type="paragraph" w:styleId="TeksBiasa">
    <w:name w:val="Plain Text"/>
    <w:basedOn w:val="Normal"/>
    <w:link w:val="TeksBiasaKAR"/>
    <w:uiPriority w:val="99"/>
    <w:unhideWhenUsed/>
    <w:pPr>
      <w:spacing w:line="240" w:lineRule="auto"/>
    </w:pPr>
    <w:rPr>
      <w:rFonts w:ascii="Consolas" w:hAnsi="Consolas"/>
      <w:szCs w:val="21"/>
    </w:rPr>
  </w:style>
  <w:style w:type="paragraph" w:styleId="TabelGambar">
    <w:name w:val="table of figures"/>
    <w:basedOn w:val="Normal"/>
    <w:next w:val="Normal"/>
    <w:uiPriority w:val="99"/>
    <w:unhideWhenUsed/>
  </w:style>
  <w:style w:type="paragraph" w:styleId="JudulTOA">
    <w:name w:val="toa heading"/>
    <w:basedOn w:val="Normal"/>
    <w:next w:val="Normal"/>
    <w:uiPriority w:val="99"/>
    <w:unhideWhenUsed/>
    <w:rPr>
      <w:b/>
      <w:bCs/>
      <w:sz w:val="28"/>
    </w:rPr>
  </w:style>
  <w:style w:type="character" w:styleId="Penekanan">
    <w:name w:val="Emphasis"/>
    <w:basedOn w:val="FontParagrafDefault"/>
    <w:uiPriority w:val="20"/>
    <w:qFormat/>
    <w:rPr>
      <w:rFonts w:cs="Times New Roman"/>
      <w:i/>
      <w:iCs/>
    </w:rPr>
  </w:style>
  <w:style w:type="character" w:styleId="Hyperlink">
    <w:name w:val="Hyperlink"/>
    <w:basedOn w:val="FontParagrafDefault"/>
    <w:uiPriority w:val="99"/>
    <w:unhideWhenUsed/>
    <w:rPr>
      <w:rFonts w:cs="Times New Roman"/>
      <w:color w:val="0000FF"/>
      <w:u w:val="single"/>
    </w:rPr>
  </w:style>
  <w:style w:type="character" w:styleId="Kuat">
    <w:name w:val="Strong"/>
    <w:basedOn w:val="FontParagrafDefault"/>
    <w:uiPriority w:val="22"/>
    <w:qFormat/>
    <w:rPr>
      <w:rFonts w:cs="Times New Roman"/>
      <w:b/>
      <w:bCs/>
    </w:rPr>
  </w:style>
  <w:style w:type="table" w:styleId="KisiTabel">
    <w:name w:val="Table Grid"/>
    <w:basedOn w:val="TabelNormal"/>
    <w:uiPriority w:val="59"/>
    <w:rPr>
      <w:rFonts w:ascii="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1KAR">
    <w:name w:val="Judul 1 KAR"/>
    <w:basedOn w:val="FontParagrafDefault"/>
    <w:link w:val="Judul1"/>
    <w:uiPriority w:val="9"/>
    <w:qFormat/>
    <w:locked/>
    <w:rPr>
      <w:rFonts w:ascii="Cambria" w:hAnsi="Cambria" w:cs="Times New Roman"/>
      <w:b/>
      <w:bCs/>
      <w:kern w:val="32"/>
      <w:sz w:val="32"/>
      <w:szCs w:val="32"/>
      <w:lang w:eastAsia="en-US"/>
    </w:rPr>
  </w:style>
  <w:style w:type="character" w:customStyle="1" w:styleId="Judul2KAR">
    <w:name w:val="Judul 2 KAR"/>
    <w:basedOn w:val="FontParagrafDefault"/>
    <w:link w:val="Judul2"/>
    <w:uiPriority w:val="9"/>
    <w:qFormat/>
    <w:locked/>
    <w:rPr>
      <w:rFonts w:ascii="Cambria" w:hAnsi="Cambria" w:cs="Times New Roman"/>
      <w:b/>
      <w:bCs/>
      <w:i/>
      <w:iCs/>
      <w:sz w:val="28"/>
      <w:szCs w:val="28"/>
      <w:lang w:eastAsia="en-US"/>
    </w:rPr>
  </w:style>
  <w:style w:type="character" w:customStyle="1" w:styleId="Judul3KAR">
    <w:name w:val="Judul 3 KAR"/>
    <w:basedOn w:val="FontParagrafDefault"/>
    <w:link w:val="Judul3"/>
    <w:uiPriority w:val="9"/>
    <w:semiHidden/>
    <w:qFormat/>
    <w:locked/>
    <w:rPr>
      <w:rFonts w:ascii="Cambria" w:hAnsi="Cambria" w:cs="Times New Roman"/>
      <w:b/>
      <w:bCs/>
      <w:sz w:val="26"/>
      <w:szCs w:val="26"/>
      <w:lang w:eastAsia="en-US"/>
    </w:rPr>
  </w:style>
  <w:style w:type="character" w:customStyle="1" w:styleId="Judul4KAR">
    <w:name w:val="Judul 4 KAR"/>
    <w:basedOn w:val="FontParagrafDefault"/>
    <w:link w:val="Judul4"/>
    <w:uiPriority w:val="9"/>
    <w:semiHidden/>
    <w:qFormat/>
    <w:locked/>
    <w:rPr>
      <w:rFonts w:ascii="Calibri" w:hAnsi="Calibri" w:cs="Times New Roman"/>
      <w:b/>
      <w:bCs/>
      <w:sz w:val="28"/>
      <w:szCs w:val="28"/>
      <w:lang w:eastAsia="en-US"/>
    </w:rPr>
  </w:style>
  <w:style w:type="character" w:customStyle="1" w:styleId="Judul5KAR">
    <w:name w:val="Judul 5 KAR"/>
    <w:basedOn w:val="FontParagrafDefault"/>
    <w:link w:val="Judul5"/>
    <w:uiPriority w:val="9"/>
    <w:semiHidden/>
    <w:qFormat/>
    <w:locked/>
    <w:rPr>
      <w:rFonts w:ascii="Calibri" w:hAnsi="Calibri" w:cs="Times New Roman"/>
      <w:b/>
      <w:bCs/>
      <w:i/>
      <w:iCs/>
      <w:sz w:val="26"/>
      <w:szCs w:val="26"/>
      <w:lang w:eastAsia="en-US"/>
    </w:rPr>
  </w:style>
  <w:style w:type="character" w:customStyle="1" w:styleId="Judul6KAR">
    <w:name w:val="Judul 6 KAR"/>
    <w:basedOn w:val="FontParagrafDefault"/>
    <w:link w:val="Judul6"/>
    <w:uiPriority w:val="9"/>
    <w:semiHidden/>
    <w:qFormat/>
    <w:locked/>
    <w:rPr>
      <w:rFonts w:ascii="Calibri" w:hAnsi="Calibri" w:cs="Times New Roman"/>
      <w:b/>
      <w:bCs/>
      <w:sz w:val="22"/>
      <w:szCs w:val="22"/>
      <w:lang w:eastAsia="en-US"/>
    </w:rPr>
  </w:style>
  <w:style w:type="character" w:customStyle="1" w:styleId="Judul7KAR">
    <w:name w:val="Judul 7 KAR"/>
    <w:basedOn w:val="FontParagrafDefault"/>
    <w:link w:val="Judul7"/>
    <w:uiPriority w:val="9"/>
    <w:semiHidden/>
    <w:qFormat/>
    <w:locked/>
    <w:rPr>
      <w:rFonts w:ascii="Calibri" w:hAnsi="Calibri" w:cs="Times New Roman"/>
      <w:sz w:val="24"/>
      <w:szCs w:val="24"/>
      <w:lang w:eastAsia="en-US"/>
    </w:rPr>
  </w:style>
  <w:style w:type="character" w:customStyle="1" w:styleId="Judul8KAR">
    <w:name w:val="Judul 8 KAR"/>
    <w:basedOn w:val="FontParagrafDefault"/>
    <w:link w:val="Judul8"/>
    <w:uiPriority w:val="9"/>
    <w:semiHidden/>
    <w:qFormat/>
    <w:locked/>
    <w:rPr>
      <w:rFonts w:ascii="Calibri" w:hAnsi="Calibri" w:cs="Times New Roman"/>
      <w:i/>
      <w:iCs/>
      <w:sz w:val="24"/>
      <w:szCs w:val="24"/>
      <w:lang w:eastAsia="en-US"/>
    </w:rPr>
  </w:style>
  <w:style w:type="character" w:customStyle="1" w:styleId="Judul9KAR">
    <w:name w:val="Judul 9 KAR"/>
    <w:basedOn w:val="FontParagrafDefault"/>
    <w:link w:val="Judul9"/>
    <w:uiPriority w:val="9"/>
    <w:semiHidden/>
    <w:qFormat/>
    <w:locked/>
    <w:rPr>
      <w:rFonts w:ascii="Cambria" w:hAnsi="Cambria" w:cs="Times New Roman"/>
      <w:sz w:val="22"/>
      <w:szCs w:val="22"/>
      <w:lang w:eastAsia="en-US"/>
    </w:rPr>
  </w:style>
  <w:style w:type="paragraph" w:customStyle="1" w:styleId="Subheading">
    <w:name w:val="Subheading"/>
    <w:basedOn w:val="Normal"/>
    <w:next w:val="Normal"/>
    <w:link w:val="SubheadingChar"/>
    <w:qFormat/>
    <w:pPr>
      <w:keepNext/>
    </w:pPr>
    <w:rPr>
      <w:b/>
    </w:rPr>
  </w:style>
  <w:style w:type="character" w:customStyle="1" w:styleId="SubheadingChar">
    <w:name w:val="Subheading Char"/>
    <w:basedOn w:val="FontParagrafDefault"/>
    <w:link w:val="Subheading"/>
    <w:qFormat/>
    <w:locked/>
    <w:rPr>
      <w:rFonts w:ascii="Arial" w:hAnsi="Arial" w:cs="Arial"/>
      <w:b/>
      <w:sz w:val="28"/>
    </w:rPr>
  </w:style>
  <w:style w:type="character" w:customStyle="1" w:styleId="JudulKAR">
    <w:name w:val="Judul KAR"/>
    <w:basedOn w:val="FontParagrafDefault"/>
    <w:link w:val="Judul"/>
    <w:uiPriority w:val="10"/>
    <w:qFormat/>
    <w:locked/>
    <w:rPr>
      <w:rFonts w:ascii="Cambria" w:hAnsi="Cambria" w:cs="Times New Roman"/>
      <w:b/>
      <w:bCs/>
      <w:kern w:val="28"/>
      <w:sz w:val="32"/>
      <w:szCs w:val="32"/>
      <w:lang w:eastAsia="en-US"/>
    </w:rPr>
  </w:style>
  <w:style w:type="character" w:customStyle="1" w:styleId="SubjudulKAR">
    <w:name w:val="Subjudul KAR"/>
    <w:basedOn w:val="FontParagrafDefault"/>
    <w:link w:val="Subjudul"/>
    <w:uiPriority w:val="11"/>
    <w:qFormat/>
    <w:locked/>
    <w:rPr>
      <w:rFonts w:ascii="Cambria" w:hAnsi="Cambria" w:cs="Times New Roman"/>
      <w:sz w:val="24"/>
      <w:szCs w:val="24"/>
      <w:lang w:eastAsia="en-US"/>
    </w:rPr>
  </w:style>
  <w:style w:type="paragraph" w:customStyle="1" w:styleId="Quote1">
    <w:name w:val="Quote1"/>
    <w:basedOn w:val="Normal"/>
    <w:next w:val="Normal"/>
    <w:link w:val="QuoteChar"/>
    <w:uiPriority w:val="29"/>
    <w:qFormat/>
    <w:rPr>
      <w:i/>
      <w:iCs/>
      <w:color w:val="000000"/>
    </w:rPr>
  </w:style>
  <w:style w:type="character" w:customStyle="1" w:styleId="QuoteChar">
    <w:name w:val="Quote Char"/>
    <w:basedOn w:val="FontParagrafDefault"/>
    <w:link w:val="Quote1"/>
    <w:uiPriority w:val="29"/>
    <w:qFormat/>
    <w:locked/>
    <w:rPr>
      <w:rFonts w:cs="Times New Roman"/>
      <w:i/>
      <w:iCs/>
      <w:color w:val="000000"/>
      <w:sz w:val="22"/>
      <w:szCs w:val="22"/>
      <w:lang w:eastAsia="en-US"/>
    </w:rPr>
  </w:style>
  <w:style w:type="character" w:customStyle="1" w:styleId="IntenseEmphasis1">
    <w:name w:val="Intense Emphasis1"/>
    <w:basedOn w:val="FontParagrafDefault"/>
    <w:uiPriority w:val="21"/>
    <w:qFormat/>
    <w:rPr>
      <w:rFonts w:cs="Times New Roman"/>
      <w:b/>
      <w:bCs/>
      <w:i/>
      <w:iCs/>
      <w:color w:val="4F81BD"/>
    </w:rPr>
  </w:style>
  <w:style w:type="paragraph" w:customStyle="1" w:styleId="IntenseQuote1">
    <w:name w:val="Intense Quote1"/>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FontParagrafDefault"/>
    <w:link w:val="IntenseQuote1"/>
    <w:uiPriority w:val="30"/>
    <w:locked/>
    <w:rPr>
      <w:rFonts w:cs="Times New Roman"/>
      <w:b/>
      <w:bCs/>
      <w:i/>
      <w:iCs/>
      <w:color w:val="4F81BD"/>
      <w:sz w:val="22"/>
      <w:szCs w:val="22"/>
      <w:lang w:eastAsia="en-US"/>
    </w:rPr>
  </w:style>
  <w:style w:type="character" w:customStyle="1" w:styleId="SubtleReference1">
    <w:name w:val="Subtle Reference1"/>
    <w:basedOn w:val="FontParagrafDefault"/>
    <w:uiPriority w:val="31"/>
    <w:qFormat/>
    <w:rPr>
      <w:rFonts w:cs="Times New Roman"/>
      <w:smallCaps/>
      <w:color w:val="C0504D"/>
      <w:u w:val="single"/>
    </w:rPr>
  </w:style>
  <w:style w:type="character" w:customStyle="1" w:styleId="IntenseReference1">
    <w:name w:val="Intense Reference1"/>
    <w:basedOn w:val="FontParagrafDefault"/>
    <w:uiPriority w:val="32"/>
    <w:qFormat/>
    <w:rPr>
      <w:rFonts w:cs="Times New Roman"/>
      <w:b/>
      <w:bCs/>
      <w:smallCaps/>
      <w:color w:val="C0504D"/>
      <w:spacing w:val="5"/>
      <w:u w:val="single"/>
    </w:rPr>
  </w:style>
  <w:style w:type="paragraph" w:customStyle="1" w:styleId="TOCHeading1">
    <w:name w:val="TOC Heading1"/>
    <w:basedOn w:val="Judul1"/>
    <w:next w:val="Normal"/>
    <w:uiPriority w:val="39"/>
    <w:unhideWhenUsed/>
    <w:qFormat/>
    <w:pPr>
      <w:outlineLvl w:val="9"/>
    </w:pPr>
  </w:style>
  <w:style w:type="character" w:customStyle="1" w:styleId="PlaceholderText1">
    <w:name w:val="Placeholder Text1"/>
    <w:basedOn w:val="FontParagrafDefault"/>
    <w:uiPriority w:val="99"/>
    <w:semiHidden/>
    <w:qFormat/>
    <w:rPr>
      <w:rFonts w:cs="Times New Roman"/>
      <w:color w:val="auto"/>
    </w:rPr>
  </w:style>
  <w:style w:type="character" w:customStyle="1" w:styleId="TeksBiasaKAR">
    <w:name w:val="Teks Biasa KAR"/>
    <w:basedOn w:val="FontParagrafDefault"/>
    <w:link w:val="TeksBiasa"/>
    <w:uiPriority w:val="99"/>
    <w:semiHidden/>
    <w:qFormat/>
    <w:locked/>
    <w:rPr>
      <w:rFonts w:ascii="Consolas" w:hAnsi="Consolas" w:cs="Times New Roman"/>
      <w:sz w:val="21"/>
      <w:szCs w:val="21"/>
    </w:rPr>
  </w:style>
  <w:style w:type="character" w:customStyle="1" w:styleId="TeksIsi3KAR">
    <w:name w:val="Teks Isi 3 KAR"/>
    <w:basedOn w:val="FontParagrafDefault"/>
    <w:link w:val="TeksIsi3"/>
    <w:uiPriority w:val="99"/>
    <w:semiHidden/>
    <w:qFormat/>
    <w:locked/>
    <w:rPr>
      <w:rFonts w:cs="Times New Roman"/>
      <w:sz w:val="16"/>
      <w:szCs w:val="16"/>
    </w:rPr>
  </w:style>
  <w:style w:type="character" w:customStyle="1" w:styleId="TeksIsiKAR">
    <w:name w:val="Teks Isi KAR"/>
    <w:basedOn w:val="FontParagrafDefault"/>
    <w:link w:val="TeksIsi"/>
    <w:uiPriority w:val="99"/>
    <w:semiHidden/>
    <w:qFormat/>
    <w:locked/>
    <w:rPr>
      <w:rFonts w:cs="Times New Roman"/>
    </w:rPr>
  </w:style>
  <w:style w:type="character" w:customStyle="1" w:styleId="IndenPertamaTeksIsiKAR">
    <w:name w:val="Inden Pertama Teks Isi KAR"/>
    <w:basedOn w:val="TeksIsiKAR"/>
    <w:link w:val="IndenPertamaTeksIsi"/>
    <w:uiPriority w:val="99"/>
    <w:qFormat/>
    <w:locked/>
    <w:rPr>
      <w:rFonts w:cs="Times New Roman"/>
    </w:rPr>
  </w:style>
  <w:style w:type="character" w:customStyle="1" w:styleId="IndenTeksIsi3KAR">
    <w:name w:val="Inden Teks Isi 3 KAR"/>
    <w:basedOn w:val="FontParagrafDefault"/>
    <w:link w:val="IndenTeksIsi3"/>
    <w:uiPriority w:val="99"/>
    <w:qFormat/>
    <w:locked/>
    <w:rPr>
      <w:rFonts w:cs="Times New Roman"/>
      <w:sz w:val="16"/>
      <w:szCs w:val="16"/>
    </w:rPr>
  </w:style>
  <w:style w:type="character" w:customStyle="1" w:styleId="PetaDokumenKAR">
    <w:name w:val="Peta Dokumen KAR"/>
    <w:basedOn w:val="FontParagrafDefault"/>
    <w:link w:val="PetaDokumen"/>
    <w:uiPriority w:val="99"/>
    <w:semiHidden/>
    <w:qFormat/>
    <w:locked/>
    <w:rPr>
      <w:rFonts w:cs="Tahoma"/>
      <w:sz w:val="16"/>
      <w:szCs w:val="16"/>
    </w:rPr>
  </w:style>
  <w:style w:type="character" w:customStyle="1" w:styleId="TeksCatatanAkhirKAR">
    <w:name w:val="Teks Catatan Akhir KAR"/>
    <w:basedOn w:val="FontParagrafDefault"/>
    <w:link w:val="TeksCatatanAkhir"/>
    <w:uiPriority w:val="99"/>
    <w:qFormat/>
    <w:locked/>
    <w:rPr>
      <w:rFonts w:cs="Times New Roman"/>
      <w:sz w:val="20"/>
      <w:szCs w:val="20"/>
    </w:rPr>
  </w:style>
  <w:style w:type="character" w:customStyle="1" w:styleId="HeaderPesanKAR">
    <w:name w:val="Header Pesan KAR"/>
    <w:basedOn w:val="FontParagrafDefault"/>
    <w:link w:val="HeaderPesan"/>
    <w:uiPriority w:val="99"/>
    <w:semiHidden/>
    <w:qFormat/>
    <w:locked/>
    <w:rPr>
      <w:rFonts w:eastAsia="Times New Roman" w:cs="Times New Roman"/>
      <w:shd w:val="pct20" w:color="auto" w:fill="auto"/>
    </w:rPr>
  </w:style>
  <w:style w:type="paragraph" w:customStyle="1" w:styleId="NoSpacing1">
    <w:name w:val="No Spacing1"/>
    <w:uiPriority w:val="1"/>
    <w:qFormat/>
    <w:rPr>
      <w:rFonts w:cs="Times New Roman"/>
      <w:lang w:val="en-GB"/>
    </w:rPr>
  </w:style>
  <w:style w:type="paragraph" w:customStyle="1" w:styleId="ListParagraph1">
    <w:name w:val="List Paragraph1"/>
    <w:basedOn w:val="Normal"/>
    <w:link w:val="ListParagraphChar"/>
    <w:uiPriority w:val="34"/>
    <w:qFormat/>
    <w:pPr>
      <w:ind w:left="720"/>
      <w:contextualSpacing/>
    </w:pPr>
  </w:style>
  <w:style w:type="character" w:customStyle="1" w:styleId="apple-converted-space">
    <w:name w:val="apple-converted-space"/>
    <w:basedOn w:val="FontParagrafDefault"/>
    <w:qFormat/>
    <w:rPr>
      <w:rFonts w:cs="Times New Roman"/>
    </w:rPr>
  </w:style>
  <w:style w:type="character" w:customStyle="1" w:styleId="HeaderKAR">
    <w:name w:val="Header KAR"/>
    <w:basedOn w:val="FontParagrafDefault"/>
    <w:link w:val="Header"/>
    <w:uiPriority w:val="99"/>
    <w:qFormat/>
    <w:locked/>
    <w:rPr>
      <w:rFonts w:cs="Times New Roman"/>
      <w:sz w:val="22"/>
      <w:szCs w:val="22"/>
      <w:lang w:eastAsia="en-US"/>
    </w:rPr>
  </w:style>
  <w:style w:type="character" w:customStyle="1" w:styleId="FooterKAR">
    <w:name w:val="Footer KAR"/>
    <w:basedOn w:val="FontParagrafDefault"/>
    <w:link w:val="Footer"/>
    <w:uiPriority w:val="99"/>
    <w:qFormat/>
    <w:locked/>
    <w:rPr>
      <w:rFonts w:cs="Times New Roman"/>
      <w:sz w:val="22"/>
      <w:szCs w:val="22"/>
      <w:lang w:eastAsia="en-US"/>
    </w:rPr>
  </w:style>
  <w:style w:type="paragraph" w:customStyle="1" w:styleId="AbstractTitle">
    <w:name w:val="Abstract Title"/>
    <w:basedOn w:val="Normal"/>
    <w:qFormat/>
    <w:pPr>
      <w:spacing w:after="0" w:line="240" w:lineRule="auto"/>
      <w:jc w:val="center"/>
    </w:pPr>
    <w:rPr>
      <w:rFonts w:ascii="Times New Roman" w:hAnsi="Times New Roman"/>
      <w:b/>
      <w:sz w:val="24"/>
      <w:szCs w:val="20"/>
    </w:rPr>
  </w:style>
  <w:style w:type="paragraph" w:customStyle="1" w:styleId="AbstractText">
    <w:name w:val="Abstract Text"/>
    <w:basedOn w:val="IndenTeksIsi2"/>
    <w:qFormat/>
  </w:style>
  <w:style w:type="character" w:customStyle="1" w:styleId="IndenTeksIsi2KAR">
    <w:name w:val="Inden Teks Isi 2 KAR"/>
    <w:basedOn w:val="FontParagrafDefault"/>
    <w:link w:val="IndenTeksIsi2"/>
    <w:uiPriority w:val="99"/>
    <w:semiHidden/>
    <w:qFormat/>
    <w:locked/>
    <w:rPr>
      <w:rFonts w:cs="Times New Roman"/>
      <w:sz w:val="22"/>
      <w:szCs w:val="22"/>
      <w:lang w:val="en-US" w:eastAsia="en-US"/>
    </w:rPr>
  </w:style>
  <w:style w:type="character" w:customStyle="1" w:styleId="ListParagraphChar">
    <w:name w:val="List Paragraph Char"/>
    <w:link w:val="ListParagraph1"/>
    <w:uiPriority w:val="34"/>
    <w:qFormat/>
    <w:locked/>
    <w:rPr>
      <w:sz w:val="22"/>
      <w:lang w:val="en-US" w:eastAsia="en-US"/>
    </w:rPr>
  </w:style>
  <w:style w:type="character" w:customStyle="1" w:styleId="TeksIsi2KAR">
    <w:name w:val="Teks Isi 2 KAR"/>
    <w:basedOn w:val="FontParagrafDefault"/>
    <w:link w:val="TeksIsi2"/>
    <w:uiPriority w:val="99"/>
    <w:qFormat/>
    <w:locked/>
    <w:rPr>
      <w:rFonts w:cs="Times New Roman"/>
      <w:sz w:val="22"/>
      <w:szCs w:val="22"/>
      <w:lang w:val="en-US" w:eastAsia="en-US"/>
    </w:rPr>
  </w:style>
  <w:style w:type="character" w:customStyle="1" w:styleId="tgc">
    <w:name w:val="_tgc"/>
    <w:qFormat/>
  </w:style>
  <w:style w:type="character" w:customStyle="1" w:styleId="TeksBalonKAR">
    <w:name w:val="Teks Balon KAR"/>
    <w:basedOn w:val="FontParagrafDefault"/>
    <w:link w:val="TeksBalon"/>
    <w:uiPriority w:val="99"/>
    <w:semiHidden/>
    <w:qFormat/>
    <w:rPr>
      <w:rFonts w:ascii="Tahoma" w:hAnsi="Tahoma" w:cs="Tahoma"/>
      <w:sz w:val="16"/>
      <w:szCs w:val="16"/>
      <w:lang w:val="en-US" w:eastAsia="en-US"/>
    </w:rPr>
  </w:style>
  <w:style w:type="paragraph" w:customStyle="1" w:styleId="IEEEAbtract">
    <w:name w:val="IEEE Abtract"/>
    <w:basedOn w:val="Normal"/>
    <w:next w:val="Normal"/>
    <w:link w:val="IEEEAbtractChar"/>
    <w:qFormat/>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qFormat/>
    <w:locked/>
    <w:rPr>
      <w:rFonts w:ascii="Times New Roman" w:eastAsia="SimSun" w:hAnsi="Times New Roman" w:cs="Times New Roman"/>
      <w:b/>
      <w:sz w:val="18"/>
      <w:szCs w:val="24"/>
    </w:rPr>
  </w:style>
  <w:style w:type="paragraph" w:customStyle="1" w:styleId="Authors">
    <w:name w:val="Authors"/>
    <w:basedOn w:val="Normal"/>
    <w:qFormat/>
    <w:pPr>
      <w:widowControl w:val="0"/>
      <w:autoSpaceDE w:val="0"/>
      <w:autoSpaceDN w:val="0"/>
      <w:adjustRightInd w:val="0"/>
      <w:spacing w:after="0" w:line="360" w:lineRule="auto"/>
      <w:jc w:val="center"/>
      <w:textAlignment w:val="baseline"/>
    </w:pPr>
    <w:rPr>
      <w:rFonts w:ascii="Times New Roman" w:eastAsia="BatangChe" w:hAnsi="Times New Roman"/>
      <w:b/>
      <w:sz w:val="24"/>
      <w:szCs w:val="20"/>
      <w:lang w:eastAsia="ko-KR"/>
    </w:rPr>
  </w:style>
  <w:style w:type="paragraph" w:customStyle="1" w:styleId="Addresses">
    <w:name w:val="Addresses"/>
    <w:basedOn w:val="Normal"/>
    <w:qFormat/>
    <w:pPr>
      <w:widowControl w:val="0"/>
      <w:autoSpaceDE w:val="0"/>
      <w:autoSpaceDN w:val="0"/>
      <w:adjustRightInd w:val="0"/>
      <w:spacing w:after="0" w:line="360" w:lineRule="auto"/>
      <w:jc w:val="center"/>
      <w:textAlignment w:val="baseline"/>
    </w:pPr>
    <w:rPr>
      <w:rFonts w:ascii="Times New Roman" w:eastAsia="BatangChe" w:hAnsi="Times New Roman"/>
      <w:i/>
      <w:sz w:val="24"/>
      <w:szCs w:val="20"/>
      <w:lang w:eastAsia="ko-KR"/>
    </w:rPr>
  </w:style>
  <w:style w:type="paragraph" w:customStyle="1" w:styleId="EndNoteBibliography">
    <w:name w:val="EndNote Bibliography"/>
    <w:basedOn w:val="Normal"/>
    <w:link w:val="EndNoteBibliographyChar"/>
    <w:qFormat/>
    <w:pPr>
      <w:spacing w:after="160" w:line="240" w:lineRule="auto"/>
      <w:jc w:val="both"/>
    </w:pPr>
    <w:rPr>
      <w:rFonts w:eastAsiaTheme="minorHAnsi"/>
    </w:rPr>
  </w:style>
  <w:style w:type="character" w:customStyle="1" w:styleId="EndNoteBibliographyChar">
    <w:name w:val="EndNote Bibliography Char"/>
    <w:basedOn w:val="FontParagrafDefault"/>
    <w:link w:val="EndNoteBibliography"/>
    <w:qFormat/>
    <w:rPr>
      <w:rFonts w:eastAsiaTheme="minorHAnsi"/>
      <w:sz w:val="22"/>
      <w:szCs w:val="22"/>
      <w:lang w:val="en-US" w:eastAsia="en-US"/>
    </w:rPr>
  </w:style>
  <w:style w:type="character" w:customStyle="1" w:styleId="type">
    <w:name w:val="type"/>
    <w:basedOn w:val="FontParagrafDefault"/>
    <w:rsid w:val="00F5718C"/>
  </w:style>
  <w:style w:type="character" w:customStyle="1" w:styleId="id">
    <w:name w:val="id"/>
    <w:basedOn w:val="FontParagrafDefault"/>
    <w:rsid w:val="00F5718C"/>
  </w:style>
  <w:style w:type="character" w:styleId="SebutanYangBelumTerselesaikan">
    <w:name w:val="Unresolved Mention"/>
    <w:basedOn w:val="FontParagrafDefault"/>
    <w:uiPriority w:val="99"/>
    <w:semiHidden/>
    <w:unhideWhenUsed/>
    <w:rsid w:val="00920027"/>
    <w:rPr>
      <w:color w:val="605E5C"/>
      <w:shd w:val="clear" w:color="auto" w:fill="E1DFDD"/>
    </w:rPr>
  </w:style>
  <w:style w:type="paragraph" w:styleId="Subjudul">
    <w:name w:val="Subtitle"/>
    <w:basedOn w:val="Normal"/>
    <w:next w:val="Normal"/>
    <w:link w:val="SubjudulKAR"/>
    <w:uiPriority w:val="11"/>
    <w:qFormat/>
    <w:pPr>
      <w:spacing w:after="60"/>
      <w:jc w:val="center"/>
    </w:pPr>
    <w:rPr>
      <w:rFonts w:ascii="Cambria" w:eastAsia="Cambria" w:hAnsi="Cambria" w:cs="Cambria"/>
      <w:sz w:val="24"/>
      <w:szCs w:val="24"/>
    </w:rPr>
  </w:style>
  <w:style w:type="table" w:customStyle="1" w:styleId="a">
    <w:basedOn w:val="TabelNormal"/>
    <w:rPr>
      <w:rFonts w:ascii="Times New Roman" w:eastAsia="Times New Roman" w:hAnsi="Times New Roman" w:cs="Times New Roman"/>
    </w:rPr>
    <w:tblPr>
      <w:tblStyleRowBandSize w:val="1"/>
      <w:tblStyleColBandSize w:val="1"/>
    </w:tblPr>
  </w:style>
  <w:style w:type="table" w:customStyle="1" w:styleId="a0">
    <w:basedOn w:val="TabelNormal"/>
    <w:tblPr>
      <w:tblStyleRowBandSize w:val="1"/>
      <w:tblStyleColBandSize w:val="1"/>
      <w:tblCellMar>
        <w:left w:w="115" w:type="dxa"/>
        <w:right w:w="115" w:type="dxa"/>
      </w:tblCellMar>
    </w:tblPr>
  </w:style>
  <w:style w:type="table" w:styleId="TabelKisi4-Aksen3">
    <w:name w:val="Grid Table 4 Accent 3"/>
    <w:basedOn w:val="TabelNormal"/>
    <w:uiPriority w:val="49"/>
    <w:rsid w:val="00DF38B5"/>
    <w:pPr>
      <w:spacing w:after="0" w:line="240" w:lineRule="auto"/>
    </w:pPr>
    <w:rPr>
      <w:rFonts w:asciiTheme="minorHAnsi" w:eastAsiaTheme="minorHAnsi" w:hAnsiTheme="minorHAnsi" w:cstheme="minorBidi"/>
      <w:kern w:val="2"/>
      <w:sz w:val="24"/>
      <w:szCs w:val="24"/>
      <w:lang w:val="en-US"/>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Kisi4">
    <w:name w:val="Grid Table 4"/>
    <w:basedOn w:val="TabelNormal"/>
    <w:uiPriority w:val="49"/>
    <w:rsid w:val="00C5313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Kisi2">
    <w:name w:val="Grid Table 2"/>
    <w:basedOn w:val="TabelNormal"/>
    <w:uiPriority w:val="47"/>
    <w:rsid w:val="00C5313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urul.ittaqullah@uho.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s://doi.org/10.XXXXX/" TargetMode="External"/><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s://doi.org/10.XXXX/IJISSH"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bQtWNPyMVfhxOD0aCiolpZsNkg==">CgMxLjA4AHIhMW5aWmZBTW1RbWZ5cGNaOTRWTy0xYkhTUlZ2ZmJENndp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3179</Words>
  <Characters>18123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purnama putra</dc:creator>
  <cp:lastModifiedBy>Wahid Tuftazani Rizqi, M.Pd</cp:lastModifiedBy>
  <cp:revision>2</cp:revision>
  <dcterms:created xsi:type="dcterms:W3CDTF">2026-06-04T13:21:00Z</dcterms:created>
  <dcterms:modified xsi:type="dcterms:W3CDTF">2026-06-04T13:21:00Z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1033-1.4.1.2106</vt:lpwstr>
  </property>
</Properties>
</file>